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37" w:lineRule="auto"/>
        <w:ind w:left="260" w:right="12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rtl w:val="0"/>
        </w:rPr>
        <w:t xml:space="preserve">PORTARIA DE INSTAURAÇÃO DE PROCEDIMENTO ADMINISTRATIVO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O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vertAlign w:val="baseline"/>
          <w:rtl w:val="0"/>
        </w:rPr>
        <w:t xml:space="preserve">MINISTÉRIO PÚBLICO DE PERNAMBUCO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,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através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rtl w:val="0"/>
        </w:rPr>
        <w:t xml:space="preserve">do/da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vertAlign w:val="baseline"/>
          <w:rtl w:val="0"/>
        </w:rPr>
        <w:t xml:space="preserve"> Promotor/a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de Justiça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vertAlign w:val="baseline"/>
          <w:rtl w:val="0"/>
        </w:rPr>
        <w:t xml:space="preserve">signatário(a)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, instaura o presente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vertAlign w:val="baseline"/>
          <w:rtl w:val="0"/>
        </w:rPr>
        <w:t xml:space="preserve">Procedimento Administrativo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com o fim de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57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vertAlign w:val="baseline"/>
          <w:rtl w:val="0"/>
        </w:rPr>
        <w:t xml:space="preserve">OBJETO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: Acompanhamento do processo de escolha de conselheiros e conselheiras tutelares d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o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rtl w:val="0"/>
        </w:rPr>
        <w:t xml:space="preserve">Município de XXXXXX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- ano 2023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57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CONSIDERANDO que, nos termos do art. 127 da Constituição Federal, é dever do Ministério Público a defesa da ordem jurídica, do regime democrático e dos interesses sociais e individuais indisponíveis;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59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CONSIDERANDO que a Constituição da República de 1988, em seu art. 227, caput, proclama como dever da família, da sociedade e do Estado assegurar à criança e ao adolescente, com absoluta prioridade, o direito à vida, à saúde, à alimentação, à educação, ao lazer, à profissionalização, à cultura, à dignidade, ao respeito, à liberdade e à convivência familiar e comunitária, além de colocá-los a salvo de toda forma de negligência, discriminação, exploração, violência, crueldade e opressão;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57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CONSIDERANDO que o art. 139, caput, Lei nº 8.069/90, disciplina que o “processo de escolha dos membros do Conselho Tutelar será estabelecido em Lei Municipal e realizado sob a responsabilidade do Conselho Municipal dos Direitos da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Criança e do Adolescente...”; sendo atribuição do Ministério Público a fiscalização desse processo;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59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CONSIDERANDO que é atribuição do CONSELHO MUNICIPAL DOS DIREITOS DA CRIANÇA E DO ADOLESCENTE – CMDCA – a condução do processo de escolha para membros do Conselho Tutelar, cabendo-lhe adotar as providências necessárias para realização do certame, como, por exemplo, a expedição de editais, resoluções e outros atos de sua competência;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59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59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CONSIDERANDO que, com amparo no art. 139 da Lei 8.069/90, a Resolução 231 do CONANDA, em seu art. 5º, inciso I, especifica que o processo de escolha dos membros do Conselho Tutelar se dará mediante sufrágio universal e direto, pelo voto uninominal facultativo e secreto dos eleitores do respectivo município ou do Distrito Federal, realizado em data unificada em todo território nacional, a cada quatro anos, no primeiro domingo do mês de outubro do ano subsequente ao da eleição presidencial, sendo estabelecido em lei municipal ou do Distrito Federal, sob a responsabilidade do Conselho Municipal ou do Distrito Federal dos Direitos da Criança e do Adolescente, que deve buscar o apoio da Justiça Eleitoral;</w:t>
      </w:r>
    </w:p>
    <w:p w:rsidR="00000000" w:rsidDel="00000000" w:rsidP="00000000" w:rsidRDefault="00000000" w:rsidRPr="00000000" w14:paraId="00000011">
      <w:pPr>
        <w:spacing w:line="359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CONSIDERANDO que o art. 7º, §1º da Resolução 231 do CONANDA estabelece requisitos que devem ser observados no edital do processo de escolha, que deve ser publicado no mínimo seis meses antes do dia estabelecido para o certame;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59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CONSIDERANDO que compete ao Ministério Público zelar pelo efetivo respeito aos direitos e garantias legais assegurados às crianças e adolescentes, promovendo as medidas judiciais e extrajudiciais cabíveis, incluindo a instauração de procedimentos administrativos, consoante inteligência do art. 201, incisos VI e VIII, do Estatuto da Criança e do Adolescente;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57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CONSIDERANDO o contido na Resolução 174/2017, do CONSELHO NACIONAL DO MINISTÉRIO PÚBLICO, bem como a Resolução 3/2019 do CONSELHO SUPERIOR DO MINIST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ÉRIO PÚBLICO DE PERNAMBUCO,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que disciplina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m,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no âmbito do Ministério Público, a instauração e a tramitação do Procedimento Administrativo;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980" w:firstLine="0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RESOLVE: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54" w:lineRule="auto"/>
        <w:ind w:left="260" w:firstLine="720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INSTAURAR o presente PROCEDIMENTO ADMINISTRATIVO, tendo como OBJETO acompanhar a deflagração, como também a fiscalização do processo de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escolha de conselheiros e conselheiras tutelares d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o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rtl w:val="0"/>
        </w:rPr>
        <w:t xml:space="preserve">Município de XXXXX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, que ocorrerá em outubro do ano de 2023, determinando, desde logo: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tabs>
          <w:tab w:val="left" w:leader="none" w:pos="1273"/>
        </w:tabs>
        <w:spacing w:line="354" w:lineRule="auto"/>
        <w:ind w:left="260" w:firstLine="721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juntada da legislação municipal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relacionada ao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conselho tutelar;</w:t>
      </w:r>
    </w:p>
    <w:p w:rsidR="00000000" w:rsidDel="00000000" w:rsidP="00000000" w:rsidRDefault="00000000" w:rsidRPr="00000000" w14:paraId="0000001D">
      <w:pPr>
        <w:tabs>
          <w:tab w:val="left" w:leader="none" w:pos="1273"/>
        </w:tabs>
        <w:spacing w:line="354" w:lineRule="auto"/>
        <w:jc w:val="both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tabs>
          <w:tab w:val="left" w:leader="none" w:pos="1273"/>
        </w:tabs>
        <w:spacing w:line="354" w:lineRule="auto"/>
        <w:ind w:left="260" w:firstLine="721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expedição de ofício ao C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MDCA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solicitando informações, no prazo de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dias, sobre as providências adotadas para constituição da comissão encarregada (art. 7º, §2º,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“d” da Resolução 231 do CONANDA)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dos procedimentos relativos ao processo de escolha de conselheiros tutelares que se realizará em 2023, inclusive, se for o caso, de logo indicando nominalmente seus integrantes;</w:t>
      </w:r>
    </w:p>
    <w:p w:rsidR="00000000" w:rsidDel="00000000" w:rsidP="00000000" w:rsidRDefault="00000000" w:rsidRPr="00000000" w14:paraId="0000001F">
      <w:pPr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tabs>
          <w:tab w:val="left" w:leader="none" w:pos="1363"/>
        </w:tabs>
        <w:spacing w:line="359" w:lineRule="auto"/>
        <w:ind w:left="260" w:firstLine="721"/>
        <w:jc w:val="both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expedição de ofício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 ao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rtl w:val="0"/>
        </w:rPr>
        <w:t xml:space="preserve">Município de XXXXX, através da Secretaria encarregada,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solicitando informações, no prazo de 10 d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as, sobre a contemplação, no projeto de Lei Orçamentária 2023, de dotação orçamentária voltada ao custeio do suporte material e logístico necessário à realização do processo de escolha dos conselheiros e conselheiras tutelares do Município (Art. 139 do Estatuto da Criança e do Adolescente e Resolução n.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231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 do CONANDA)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1">
      <w:pPr>
        <w:tabs>
          <w:tab w:val="left" w:leader="none" w:pos="1363"/>
        </w:tabs>
        <w:spacing w:line="359" w:lineRule="auto"/>
        <w:jc w:val="both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tabs>
          <w:tab w:val="left" w:leader="none" w:pos="1363"/>
        </w:tabs>
        <w:spacing w:line="359" w:lineRule="auto"/>
        <w:ind w:left="260" w:firstLine="721"/>
        <w:jc w:val="both"/>
        <w:rPr>
          <w:rFonts w:ascii="Quattrocento Sans" w:cs="Quattrocento Sans" w:eastAsia="Quattrocento Sans" w:hAnsi="Quattrocento Sans"/>
          <w:sz w:val="24"/>
          <w:szCs w:val="24"/>
          <w:u w:val="no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Agende-se reunião preparatória com a comissão encarregada do processo de escolha.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54" w:lineRule="auto"/>
        <w:ind w:left="260" w:firstLine="720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Remeta-se cópia da presente Portaria, ainda, ao Conselho Superior do Ministério Público e ao CAOIJ, para conhecimento.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980" w:firstLine="0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Providencie-se a publicação em Diário Oficial, para ampla publicidade.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980" w:firstLine="0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980" w:firstLine="0"/>
        <w:rPr>
          <w:rFonts w:ascii="Quattrocento Sans" w:cs="Quattrocento Sans" w:eastAsia="Quattrocento Sans" w:hAnsi="Quattrocento Sans"/>
          <w:sz w:val="24"/>
          <w:szCs w:val="24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vertAlign w:val="baseline"/>
          <w:rtl w:val="0"/>
        </w:rPr>
        <w:t xml:space="preserve">Cumpra-se.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980" w:firstLine="0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980" w:firstLine="0"/>
        <w:rPr>
          <w:rFonts w:ascii="Quattrocento Sans" w:cs="Quattrocento Sans" w:eastAsia="Quattrocento Sans" w:hAnsi="Quattrocento Sans"/>
          <w:sz w:val="24"/>
          <w:szCs w:val="24"/>
          <w:highlight w:val="yellow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highlight w:val="yellow"/>
          <w:rtl w:val="0"/>
        </w:rPr>
        <w:t xml:space="preserve">Local,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jc w:val="left"/>
        <w:rPr>
          <w:rFonts w:ascii="Quattrocento Sans" w:cs="Quattrocento Sans" w:eastAsia="Quattrocento Sans" w:hAnsi="Quattrocento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jc w:val="center"/>
        <w:rPr>
          <w:rFonts w:ascii="Quattrocento Sans" w:cs="Quattrocento Sans" w:eastAsia="Quattrocento Sans" w:hAnsi="Quattrocento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jc w:val="center"/>
        <w:rPr>
          <w:rFonts w:ascii="Quattrocento Sans" w:cs="Quattrocento Sans" w:eastAsia="Quattrocento Sans" w:hAnsi="Quattrocento Sans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highlight w:val="yellow"/>
          <w:rtl w:val="0"/>
        </w:rPr>
        <w:t xml:space="preserve">XXXXXXXXXXXXXXXXX </w:t>
      </w:r>
    </w:p>
    <w:p w:rsidR="00000000" w:rsidDel="00000000" w:rsidP="00000000" w:rsidRDefault="00000000" w:rsidRPr="00000000" w14:paraId="0000002F">
      <w:pPr>
        <w:ind w:left="0" w:firstLine="0"/>
        <w:jc w:val="center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highlight w:val="yellow"/>
          <w:vertAlign w:val="baseline"/>
          <w:rtl w:val="0"/>
        </w:rPr>
        <w:t xml:space="preserve">Promotor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highlight w:val="yellow"/>
          <w:rtl w:val="0"/>
        </w:rPr>
        <w:t xml:space="preserve">(a)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24"/>
          <w:szCs w:val="24"/>
          <w:highlight w:val="yellow"/>
          <w:vertAlign w:val="baseline"/>
          <w:rtl w:val="0"/>
        </w:rPr>
        <w:t xml:space="preserve"> de Justiça.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0" w:orient="portrait"/>
      <w:pgMar w:bottom="966.3779527559075" w:top="850.3937007874016" w:left="1440" w:right="84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nHLI/LadJkCUCyAZ0/6sFT6zhw==">AMUW2mVHOpR2uIr22HcdCMGZ2JR0rwji59E7/JEjm7fjINgl1dcKb2uHmQhhzRvIkpH+yLt/EzJjY2OREGe+6KT+1wanVokm0pWrogLBzJNpSI1rprLc8Yc=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