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Ofício nº XX/2024</w:t>
        <w:tab/>
        <w:tab/>
        <w:tab/>
        <w:tab/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right"/>
        <w:rPr>
          <w:sz w:val="22"/>
          <w:szCs w:val="22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ab/>
        <w:tab/>
        <w:tab/>
        <w:tab/>
        <w:tab/>
        <w:tab/>
        <w:tab/>
        <w:tab/>
      </w: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(Local, data) </w:t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both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-normal"/>
        <w:widowControl/>
        <w:spacing w:lineRule="auto" w:line="240" w:before="0" w:after="0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-normal"/>
        <w:widowControl/>
        <w:spacing w:lineRule="auto" w:line="240" w:before="0" w:after="0"/>
        <w:ind w:hanging="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A Sua Excelência </w:t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left"/>
        <w:rPr>
          <w:sz w:val="22"/>
          <w:szCs w:val="22"/>
        </w:rPr>
      </w:pPr>
      <w:r>
        <w:rPr>
          <w:rFonts w:eastAsia="Times New Roman" w:cs="Times New Roman"/>
          <w:b/>
          <w:color w:val="000000"/>
          <w:kern w:val="2"/>
          <w:sz w:val="22"/>
          <w:szCs w:val="22"/>
          <w:lang w:val="pt-BR" w:eastAsia="zh-CN" w:bidi="hi-IN"/>
        </w:rPr>
        <w:t xml:space="preserve">Sr(a). </w:t>
      </w:r>
      <w:r>
        <w:rPr>
          <w:rFonts w:eastAsia="Times New Roman" w:cs="Times New Roman"/>
          <w:b/>
          <w:color w:val="000000"/>
          <w:kern w:val="2"/>
          <w:sz w:val="22"/>
          <w:szCs w:val="22"/>
          <w:lang w:val="pt-BR" w:eastAsia="zh-CN" w:bidi="hi-IN"/>
        </w:rPr>
        <w:t>XXXXXXXXXX</w:t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left"/>
        <w:rPr>
          <w:sz w:val="22"/>
          <w:szCs w:val="22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Secret</w:t>
      </w:r>
      <w:r>
        <w:rPr>
          <w:rFonts w:eastAsia="Times New Roman" w:cs="Times New Roman"/>
          <w:color w:val="000000"/>
          <w:sz w:val="22"/>
          <w:szCs w:val="22"/>
        </w:rPr>
        <w:t xml:space="preserve">aria Municipal de </w:t>
      </w:r>
      <w:r>
        <w:rPr>
          <w:rFonts w:eastAsia="Times New Roman" w:cs="Times New Roman"/>
          <w:color w:val="000000"/>
          <w:sz w:val="22"/>
          <w:szCs w:val="22"/>
        </w:rPr>
        <w:t>XXXXXXX</w:t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left"/>
        <w:rPr>
          <w:sz w:val="22"/>
          <w:szCs w:val="22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Nesta</w:t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left"/>
        <w:rPr>
          <w:rFonts w:ascii="Arial" w:hAnsi="Arial" w:eastAsia="Times New Roman" w:cs="Times New Roma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left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left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Assunto: </w:t>
      </w:r>
      <w:r>
        <w:rPr>
          <w:rFonts w:eastAsia="Times New Roman" w:cs="Times New Roman"/>
          <w:color w:val="000000"/>
          <w:sz w:val="22"/>
          <w:szCs w:val="22"/>
        </w:rPr>
        <w:t>informações sobre o Serviço de Acolhimento em Família Acolhedora</w:t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firstLine="1361" w:left="0" w:right="0"/>
        <w:jc w:val="both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firstLine="1361" w:left="0" w:right="0"/>
        <w:jc w:val="both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uppressAutoHyphens w:val="true"/>
        <w:overflowPunct w:val="true"/>
        <w:bidi w:val="0"/>
        <w:spacing w:lineRule="auto" w:line="240" w:before="0" w:after="0"/>
        <w:ind w:firstLine="737" w:left="0" w:right="0"/>
        <w:jc w:val="both"/>
        <w:rPr>
          <w:sz w:val="22"/>
          <w:szCs w:val="22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Senhor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(a)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Secretári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o(a)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,</w:t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firstLine="1417" w:left="0" w:right="0"/>
        <w:jc w:val="both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hanging="0" w:left="0" w:right="0"/>
        <w:jc w:val="both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202124"/>
          <w:position w:val="0"/>
          <w:sz w:val="22"/>
          <w:sz w:val="22"/>
          <w:szCs w:val="22"/>
          <w:highlight w:val="white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202124"/>
          <w:position w:val="0"/>
          <w:sz w:val="22"/>
          <w:sz w:val="22"/>
          <w:szCs w:val="22"/>
          <w:highlight w:val="white"/>
          <w:u w:val="none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1C1C1C"/>
          <w:position w:val="0"/>
          <w:sz w:val="22"/>
          <w:sz w:val="22"/>
          <w:szCs w:val="22"/>
          <w:highlight w:val="white"/>
          <w:u w:val="none"/>
          <w:vertAlign w:val="baseline"/>
        </w:rPr>
        <w:t xml:space="preserve">Após cordiais cumprimentos, esta Promotoria de Justiça de XX, com atribuição nas temáticas relacionadas aos Direitos de Crianças e Adolescentes, informa que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1C1C1C"/>
          <w:position w:val="0"/>
          <w:sz w:val="22"/>
          <w:sz w:val="22"/>
          <w:szCs w:val="22"/>
          <w:highlight w:val="white"/>
          <w:u w:val="none"/>
          <w:vertAlign w:val="baseline"/>
        </w:rPr>
        <w:t>foi instaurado procedimento extrajudicial (nº XXXXXXX)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1C1C1C"/>
          <w:position w:val="0"/>
          <w:sz w:val="22"/>
          <w:sz w:val="22"/>
          <w:szCs w:val="22"/>
          <w:highlight w:val="white"/>
          <w:u w:val="none"/>
          <w:vertAlign w:val="baseline"/>
        </w:rPr>
        <w:t xml:space="preserve">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1C1C1C"/>
          <w:spacing w:val="0"/>
          <w:position w:val="0"/>
          <w:sz w:val="22"/>
          <w:sz w:val="22"/>
          <w:szCs w:val="22"/>
          <w:highlight w:val="white"/>
          <w:u w:val="none"/>
          <w:vertAlign w:val="baseline"/>
        </w:rPr>
        <w:t xml:space="preserve">para apurar os motivos deste Município ainda não possuir o Serviço de Acolhimento em Família Acolhedora, mesmo diante da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1C1C1C"/>
          <w:spacing w:val="0"/>
          <w:kern w:val="2"/>
          <w:position w:val="0"/>
          <w:sz w:val="22"/>
          <w:sz w:val="22"/>
          <w:szCs w:val="22"/>
          <w:highlight w:val="white"/>
          <w:u w:val="none"/>
          <w:vertAlign w:val="baseline"/>
          <w:lang w:val="pt-BR" w:eastAsia="zh-CN" w:bidi="hi-IN"/>
        </w:rPr>
        <w:t>preferência disposta no §1º do art. 34 da Lei 8.069/90 (ECA)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>.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>Como é de conhecimento, d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 xml:space="preserve">esde 20XX esta Promotoria de Justiça vem dialogando 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>com a gestão, não tendo sido possível, até o momento, a ultimação das medidas necessárias para cumprimento da legislação.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>Fato novo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 xml:space="preserve"> é a assinatura da </w:t>
      </w:r>
      <w:r>
        <w:rPr>
          <w:rFonts w:eastAsia="Times New Roman" w:cs="Times New Roman"/>
          <w:b/>
          <w:bCs/>
          <w:color w:val="1C1C1C"/>
          <w:sz w:val="22"/>
          <w:szCs w:val="22"/>
          <w:highlight w:val="white"/>
        </w:rPr>
        <w:t>RECOMENDAÇÃO CONJUNTA Nº 2 DE 17 DE JANEIRO DE 2024 (em anexo)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>, que dispõe sobre a integração de esforços para o fortalecimento do Serviço de Acolhimento em Família Acolhedora, assinada pelo Presidente do Conselho Nacional de Justiça, o Presidente do Conselho Nacional do Ministério Público, o Ministro de Estado do Desenvolvimento e Assistência Social, Família e Combate à Fome, o Ministro de Estado dos Direitos Humanos e da Cidadania, a Ministra de Estado do Planejamento e Orçamento, a Presidente do Conselho Nacional de Assistência Social e o Presidente do Conselho Nacional dos Direitos da Criança e do Adolescente.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 xml:space="preserve">Importante ressaltar que o art. 2º da referida Recomendação diz que devem ser fomentadas algumas </w:t>
      </w:r>
      <w:r>
        <w:rPr>
          <w:rFonts w:eastAsia="Times New Roman" w:cs="Times New Roman"/>
          <w:b/>
          <w:bCs/>
          <w:color w:val="1C1C1C"/>
          <w:sz w:val="22"/>
          <w:szCs w:val="22"/>
          <w:highlight w:val="white"/>
        </w:rPr>
        <w:t>estratégias para o alcance dos objetivos propostos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>. Dentre as estratégias citadas, vale citar: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>I – criação de Grupo de Trabalho Intersetorial, no prazo de 120 (cento e vinte) dias, nas diferentes esferas, envolvendo o órgão gestor da Assistência Social, o Conselho da Assistência Social, o Conselho de Direitos da Criança e do Adolescente, o Poder Judiciário e o Ministério Público, dentre outros, para o planejamento de estratégias e ações integradas voltadas à implantação e qualificação do Serviço de Acolhimento em Família Acolhedora.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 xml:space="preserve">Considerando o que está preconizado no art. 2º da referida </w:t>
      </w:r>
      <w:r>
        <w:rPr>
          <w:rFonts w:eastAsia="Times New Roman" w:cs="Times New Roman"/>
          <w:b/>
          <w:bCs/>
          <w:color w:val="1C1C1C"/>
          <w:sz w:val="22"/>
          <w:szCs w:val="22"/>
          <w:highlight w:val="white"/>
          <w:u w:val="single"/>
        </w:rPr>
        <w:t>Recomendação Conjunta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 xml:space="preserve"> 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 xml:space="preserve">serve o presente para </w:t>
      </w:r>
      <w:r>
        <w:rPr>
          <w:rFonts w:eastAsia="Times New Roman" w:cs="Times New Roman"/>
          <w:b/>
          <w:bCs/>
          <w:color w:val="1C1C1C"/>
          <w:sz w:val="22"/>
          <w:szCs w:val="22"/>
          <w:highlight w:val="white"/>
          <w:u w:val="single"/>
        </w:rPr>
        <w:t xml:space="preserve">sugerir a </w:t>
      </w:r>
      <w:r>
        <w:rPr>
          <w:rFonts w:eastAsia="Times New Roman" w:cs="Times New Roman"/>
          <w:b/>
          <w:bCs/>
          <w:color w:val="1C1C1C"/>
          <w:sz w:val="22"/>
          <w:szCs w:val="22"/>
          <w:highlight w:val="white"/>
          <w:u w:val="single"/>
        </w:rPr>
        <w:t>V. Exa. a</w:t>
      </w:r>
      <w:r>
        <w:rPr>
          <w:rFonts w:eastAsia="Times New Roman" w:cs="Times New Roman"/>
          <w:b/>
          <w:bCs/>
          <w:color w:val="1C1C1C"/>
          <w:sz w:val="22"/>
          <w:szCs w:val="22"/>
          <w:highlight w:val="white"/>
          <w:u w:val="single"/>
        </w:rPr>
        <w:t xml:space="preserve"> imediata criação d</w:t>
      </w:r>
      <w:r>
        <w:rPr>
          <w:rFonts w:eastAsia="Times New Roman" w:cs="Times New Roman"/>
          <w:b/>
          <w:bCs/>
          <w:color w:val="1C1C1C"/>
          <w:sz w:val="22"/>
          <w:szCs w:val="22"/>
          <w:highlight w:val="white"/>
          <w:u w:val="single"/>
        </w:rPr>
        <w:t>o referido</w:t>
      </w:r>
      <w:r>
        <w:rPr>
          <w:rFonts w:eastAsia="Times New Roman" w:cs="Times New Roman"/>
          <w:b/>
          <w:bCs/>
          <w:color w:val="1C1C1C"/>
          <w:sz w:val="22"/>
          <w:szCs w:val="22"/>
          <w:highlight w:val="white"/>
          <w:u w:val="single"/>
        </w:rPr>
        <w:t xml:space="preserve"> GT</w:t>
      </w:r>
      <w:r>
        <w:rPr>
          <w:rFonts w:eastAsia="Times New Roman" w:cs="Times New Roman"/>
          <w:b w:val="false"/>
          <w:bCs w:val="false"/>
          <w:color w:val="1C1C1C"/>
          <w:sz w:val="22"/>
          <w:szCs w:val="22"/>
          <w:highlight w:val="white"/>
          <w:u w:val="none"/>
        </w:rPr>
        <w:t xml:space="preserve"> </w:t>
      </w:r>
      <w:r>
        <w:rPr>
          <w:rFonts w:eastAsia="Times New Roman" w:cs="Times New Roman"/>
          <w:b w:val="false"/>
          <w:bCs w:val="false"/>
          <w:color w:val="1C1C1C"/>
          <w:sz w:val="22"/>
          <w:szCs w:val="22"/>
          <w:highlight w:val="white"/>
          <w:u w:val="none"/>
        </w:rPr>
        <w:t>para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>: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 xml:space="preserve">1. agilizar a tramitação </w:t>
      </w:r>
      <w:r>
        <w:rPr>
          <w:rFonts w:eastAsia="Times New Roman" w:cs="Times New Roman"/>
          <w:color w:val="1C1C1C"/>
          <w:sz w:val="22"/>
          <w:szCs w:val="22"/>
          <w:highlight w:val="white"/>
        </w:rPr>
        <w:t xml:space="preserve">de projeto de lei municipal para criação do serviço; 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>2. definição de ações prioritárias para a implantação do SFA;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>3. priorização do Serviço de Acolhimento em Família Acolhedora nos instrumentos de planejamento e orçamento do Município e nos planos de aplicação do Fundo dos Direitos da Criança e do Adolescente (FIA), conforme previsão do art. 260, § 2º, do ECA e do art. 15, II, da Resolução Conanda nº 137/2010;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>4. atuação conjunta para sensibilização e ampliação do conhecimento dos atores do Sistema de Garantia de Direitos em relação ao Serviço de Acolhimento em Família Acolhedora, contemplando seu funcionamento e importância para a proteção integral do desenvolvimento das crianças e dos adolescentes durante o acolhimento;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>5. assim que o SFA for implantado, esse mesmo GT pode desenvolver ações conjuntas de comunicação e campanhas unificadas, direcionadas à comunidade para divulgação do Serviço de Acolhimento em Família Acolhedora e mobilização de famílias interessadas em acolher, ressaltando-se a importância do envolvimento órgão gestor da Assistência Social, do Poder Judiciário e do Ministério Público nessa divulgação;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>6. oferta qualificada de formação inicial e de educação permanente para os atores envolvidos na implementação e oferta do Serviço, especialmente à equipe do órgão gestor da Assistência Social e do Serviço de Acolhimento em Família Acolhedora, aos integrantes do Ministério Público, do Poder Judiciário e outros atores do Sistema de Garantia de Direitos; e</w:t>
      </w:r>
    </w:p>
    <w:p>
      <w:pPr>
        <w:pStyle w:val="LO-normal"/>
        <w:widowControl/>
        <w:spacing w:lineRule="auto" w:line="276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color w:val="1C1C1C"/>
          <w:sz w:val="22"/>
          <w:szCs w:val="22"/>
          <w:highlight w:val="white"/>
        </w:rPr>
        <w:t>7. estruturação de formação inicial e continuada e de acompanhamento sistemático das famílias acolhedoras, em consonância com as Orientações Técnicas: Serviços de Acolhimento para Crianças e Adolescentes (Conanda e CNAS, 2009) e o Guia de Acolhimento Familiar (Coalização pelo Acolhimento Familiar, 2022).</w:t>
      </w:r>
    </w:p>
    <w:p>
      <w:pPr>
        <w:pStyle w:val="LO-normal"/>
        <w:keepNext w:val="false"/>
        <w:keepLines w:val="false"/>
        <w:widowControl/>
        <w:spacing w:lineRule="auto" w:line="240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As informações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referentes ao atendimento da Recomendação Conjunta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deverão ser encaminhadas no </w:t>
      </w: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prazo máximo de 30 dias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para o e-mail: XXXXXX, e as dúvidas podem ser esclarecidas por meio do telefone </w:t>
      </w: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kern w:val="2"/>
          <w:position w:val="0"/>
          <w:sz w:val="22"/>
          <w:sz w:val="22"/>
          <w:szCs w:val="22"/>
          <w:u w:val="none"/>
          <w:vertAlign w:val="baseline"/>
          <w:lang w:val="pt-BR" w:eastAsia="zh-CN" w:bidi="hi-IN"/>
        </w:rPr>
        <w:t>XXXXXX</w:t>
      </w: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.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firstLine="720" w:left="0" w:right="0"/>
        <w:jc w:val="both"/>
        <w:rPr>
          <w:sz w:val="22"/>
          <w:szCs w:val="22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2"/>
          <w:sz w:val="22"/>
          <w:szCs w:val="22"/>
          <w:u w:val="none"/>
          <w:vertAlign w:val="baseline"/>
        </w:rPr>
        <w:t>Certos de contarmos com a cooperação de Vossa Excelência, agradecemos antecipadamente.</w:t>
      </w:r>
    </w:p>
    <w:p>
      <w:pPr>
        <w:pStyle w:val="LO-normal"/>
        <w:keepNext w:val="false"/>
        <w:keepLines w:val="false"/>
        <w:pageBreakBefore w:val="false"/>
        <w:widowControl/>
        <w:spacing w:lineRule="auto" w:line="240" w:before="0" w:after="0"/>
        <w:ind w:firstLine="1417" w:left="0" w:right="0"/>
        <w:jc w:val="both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keepNext w:val="false"/>
        <w:keepLines w:val="false"/>
        <w:widowControl/>
        <w:spacing w:lineRule="auto" w:line="240" w:before="0" w:after="0"/>
        <w:ind w:hanging="0" w:left="708" w:right="0"/>
        <w:jc w:val="both"/>
        <w:rPr>
          <w:sz w:val="22"/>
          <w:szCs w:val="22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Atenciosamente,</w:t>
      </w:r>
    </w:p>
    <w:p>
      <w:pPr>
        <w:pStyle w:val="LO-normal"/>
        <w:widowControl/>
        <w:spacing w:lineRule="auto" w:line="240" w:before="0" w:after="0"/>
        <w:ind w:hanging="0" w:left="708" w:right="0"/>
        <w:jc w:val="both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widowControl/>
        <w:spacing w:lineRule="auto" w:line="240" w:before="0" w:after="0"/>
        <w:ind w:hanging="0" w:left="708" w:right="0"/>
        <w:jc w:val="both"/>
        <w:rPr>
          <w:rFonts w:ascii="Arial" w:hAnsi="Arial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-normal"/>
        <w:widowControl/>
        <w:spacing w:lineRule="auto" w:line="240" w:before="0" w:after="0"/>
        <w:ind w:hanging="0" w:left="708" w:right="0"/>
        <w:jc w:val="both"/>
        <w:rPr>
          <w:sz w:val="22"/>
          <w:szCs w:val="22"/>
        </w:rPr>
      </w:pPr>
      <w:r>
        <w:rPr>
          <w:rFonts w:eastAsia="Times New Roman" w:cs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kern w:val="2"/>
          <w:position w:val="0"/>
          <w:sz w:val="22"/>
          <w:sz w:val="22"/>
          <w:szCs w:val="22"/>
          <w:u w:val="none"/>
          <w:vertAlign w:val="baseline"/>
          <w:lang w:val="pt-BR" w:eastAsia="zh-CN" w:bidi="hi-IN"/>
        </w:rPr>
        <w:t>XXXXXXXXXXX</w:t>
      </w:r>
    </w:p>
    <w:p>
      <w:pPr>
        <w:pStyle w:val="LO-normal"/>
        <w:widowControl/>
        <w:spacing w:lineRule="auto" w:line="240" w:before="0" w:after="0"/>
        <w:ind w:hanging="0" w:left="708" w:right="0"/>
        <w:jc w:val="both"/>
        <w:rPr>
          <w:sz w:val="22"/>
          <w:szCs w:val="22"/>
        </w:rPr>
      </w:pPr>
      <w:r>
        <w:rPr>
          <w:rFonts w:eastAsia="Times New Roman" w:cs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Promotor</w:t>
      </w:r>
      <w:r>
        <w:rPr>
          <w:rFonts w:eastAsia="Times New Roman" w:cs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(a)</w:t>
      </w:r>
      <w:r>
        <w:rPr>
          <w:rFonts w:eastAsia="Times New Roman" w:cs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de Justiça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1134" w:top="3475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Ubuntu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tabs>
        <w:tab w:val="clear" w:pos="709"/>
        <w:tab w:val="center" w:pos="3930" w:leader="none"/>
      </w:tabs>
      <w:bidi w:val="0"/>
      <w:jc w:val="center"/>
      <w:rPr>
        <w:rFonts w:eastAsia="Times New Roman" w:cs="Times New Roman"/>
        <w:b/>
        <w:bCs/>
        <w:smallCaps/>
        <w:color w:val="auto"/>
        <w:spacing w:val="20"/>
        <w:sz w:val="24"/>
        <w:szCs w:val="24"/>
        <w:lang w:val="pt-BR" w:eastAsia="zxx" w:bidi="ar-SA"/>
      </w:rPr>
    </w:pPr>
    <w:bookmarkStart w:id="0" w:name="docs-internal-guid-0132a118-7fff-2bc3-6b"/>
    <w:bookmarkEnd w:id="0"/>
    <w:r>
      <w:rPr>
        <w:shd w:fill="auto" w:val="clear"/>
      </w:rPr>
      <w:drawing>
        <wp:inline distT="0" distB="0" distL="0" distR="0">
          <wp:extent cx="828675" cy="828675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BodyText"/>
      <w:bidi w:val="0"/>
      <w:spacing w:before="0" w:after="140"/>
      <w:ind w:hanging="0" w:left="0" w:right="0"/>
      <w:rPr>
        <w:sz w:val="22"/>
        <w:szCs w:val="22"/>
      </w:rPr>
    </w:pPr>
    <w:r>
      <w:rPr>
        <w:sz w:val="22"/>
        <w:szCs w:val="22"/>
        <w:shd w:fill="auto" w:val="clear"/>
      </w:rPr>
      <w:tab/>
      <w:tab/>
      <w:tab/>
      <w:t>MINISTÉRIO PÚBLICO DO ESTADO DE PERNAMBUC</w:t>
    </w:r>
    <w:r>
      <w:rPr>
        <w:sz w:val="22"/>
        <w:szCs w:val="22"/>
        <w:shd w:fill="auto" w:val="clear"/>
      </w:rPr>
      <w:t>O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tabs>
        <w:tab w:val="clear" w:pos="709"/>
        <w:tab w:val="center" w:pos="3930" w:leader="none"/>
      </w:tabs>
      <w:bidi w:val="0"/>
      <w:jc w:val="center"/>
      <w:rPr>
        <w:rFonts w:eastAsia="Times New Roman" w:cs="Times New Roman"/>
        <w:b/>
        <w:bCs/>
        <w:smallCaps/>
        <w:color w:val="auto"/>
        <w:spacing w:val="20"/>
        <w:sz w:val="24"/>
        <w:szCs w:val="24"/>
        <w:lang w:val="pt-BR" w:eastAsia="zxx" w:bidi="ar-SA"/>
      </w:rPr>
    </w:pPr>
    <w:bookmarkStart w:id="1" w:name="docs-internal-guid-0132a118-7fff-2bc3-6b"/>
    <w:bookmarkEnd w:id="1"/>
    <w:r>
      <w:rPr>
        <w:shd w:fill="auto" w:val="clear"/>
      </w:rPr>
      <w:drawing>
        <wp:inline distT="0" distB="0" distL="0" distR="0">
          <wp:extent cx="828675" cy="828675"/>
          <wp:effectExtent l="0" t="0" r="0" b="0"/>
          <wp:docPr id="2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BodyText"/>
      <w:bidi w:val="0"/>
      <w:spacing w:before="0" w:after="140"/>
      <w:ind w:hanging="0" w:left="0" w:right="0"/>
      <w:rPr>
        <w:sz w:val="22"/>
        <w:szCs w:val="22"/>
      </w:rPr>
    </w:pPr>
    <w:r>
      <w:rPr>
        <w:sz w:val="22"/>
        <w:szCs w:val="22"/>
        <w:shd w:fill="auto" w:val="clear"/>
      </w:rPr>
      <w:tab/>
      <w:tab/>
      <w:tab/>
      <w:t>MINISTÉRIO PÚBLICO DO ESTADO DE PERNAMBUC</w:t>
    </w:r>
    <w:r>
      <w:rPr>
        <w:sz w:val="22"/>
        <w:szCs w:val="22"/>
        <w:shd w:fill="auto" w:val="clear"/>
      </w:rPr>
      <w:t>O</w:t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oto Serif CJK SC" w:cs="Lohit Devanagari"/>
        <w:kern w:val="2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Noto Serif CJK SC" w:cs="Lohit Devanagari"/>
      <w:color w:val="auto"/>
      <w:kern w:val="2"/>
      <w:sz w:val="24"/>
      <w:szCs w:val="24"/>
      <w:lang w:val="pt-BR" w:eastAsia="zh-CN" w:bidi="hi-IN"/>
    </w:rPr>
  </w:style>
  <w:style w:type="paragraph" w:styleId="Heading2">
    <w:name w:val="Heading 2"/>
    <w:basedOn w:val="Ttulo"/>
    <w:next w:val="BodyText"/>
    <w:qFormat/>
    <w:pPr>
      <w:spacing w:before="200" w:after="120"/>
      <w:outlineLvl w:val="1"/>
    </w:pPr>
    <w:rPr>
      <w:rFonts w:ascii="Liberation Serif" w:hAnsi="Liberation Serif" w:eastAsia="Noto Serif CJK SC" w:cs="Lohit Devanagari"/>
      <w:b/>
      <w:bCs/>
      <w:sz w:val="36"/>
      <w:szCs w:val="36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Ubuntu" w:hAnsi="Ubuntu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Arial" w:hAnsi="Arial" w:cs="Lohit Devanagari"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CabealhoeRodap"/>
    <w:pPr>
      <w:suppressLineNumbers/>
    </w:pPr>
    <w:rPr/>
  </w:style>
  <w:style w:type="paragraph" w:styleId="Footer">
    <w:name w:val="Footer"/>
    <w:basedOn w:val="Normal"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LO-normal">
    <w:name w:val="LO-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Arial" w:hAnsi="Arial" w:eastAsia="Noto Serif CJK SC" w:cs="Lohit Devanagari"/>
      <w:color w:val="auto"/>
      <w:kern w:val="2"/>
      <w:sz w:val="24"/>
      <w:szCs w:val="24"/>
      <w:lang w:val="pt-BR" w:eastAsia="zh-CN" w:bidi="hi-IN"/>
    </w:rPr>
  </w:style>
  <w:style w:type="paragraph" w:styleId="Contedodatabela">
    <w:name w:val="Conteúdo da tabela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LibreOffice/24.2.0.3$Windows_X86_64 LibreOffice_project/da48488a73ddd66ea24cf16bbc4f7b9c08e9bea1</Application>
  <AppVersion>15.0000</AppVersion>
  <Pages>2</Pages>
  <Words>670</Words>
  <Characters>3786</Characters>
  <CharactersWithSpaces>4449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2021-12-17T14:29:23Z</dcterms:created>
  <dc:creator/>
  <dc:description/>
  <dc:language>pt-BR</dc:language>
  <cp:lastModifiedBy/>
  <dcterms:modified xsi:type="dcterms:W3CDTF">2024-02-28T09:49:23Z</dcterms:modified>
  <cp:revision>8</cp:revision>
  <dc:subject/>
  <dc:title/>
</cp:coreProperties>
</file>