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E71BE5" w:rsidRPr="00CB08C4" w:rsidRDefault="00E71BE5" w:rsidP="00D4669F">
      <w:pPr>
        <w:jc w:val="both"/>
        <w:rPr>
          <w:sz w:val="24"/>
          <w:szCs w:val="24"/>
        </w:rPr>
      </w:pPr>
    </w:p>
    <w:p w:rsidR="00CB08C4" w:rsidRDefault="00CB08C4" w:rsidP="00CB08C4">
      <w:pPr>
        <w:jc w:val="both"/>
        <w:rPr>
          <w:sz w:val="24"/>
          <w:szCs w:val="24"/>
        </w:rPr>
      </w:pPr>
      <w:r w:rsidRPr="00CB08C4">
        <w:rPr>
          <w:sz w:val="24"/>
          <w:szCs w:val="24"/>
        </w:rPr>
        <w:t xml:space="preserve">O MINISTÉRIO PÚBLICO DO ESTADO DE PERNAMBUCO, por meio do órgão de execução ao final assinado, com fundamento nos </w:t>
      </w:r>
      <w:proofErr w:type="spellStart"/>
      <w:r w:rsidRPr="00CB08C4">
        <w:rPr>
          <w:sz w:val="24"/>
          <w:szCs w:val="24"/>
        </w:rPr>
        <w:t>arts</w:t>
      </w:r>
      <w:proofErr w:type="spellEnd"/>
      <w:r w:rsidRPr="00CB08C4">
        <w:rPr>
          <w:sz w:val="24"/>
          <w:szCs w:val="24"/>
        </w:rPr>
        <w:t xml:space="preserve">. 127, caput e 129, II, ambos da Constituição Federal; art. 67, caput, e seu § 2º, V, da Constituição Estadual e inciso IV do parágrafo único do art. </w:t>
      </w:r>
      <w:proofErr w:type="gramStart"/>
      <w:r w:rsidRPr="00CB08C4">
        <w:rPr>
          <w:sz w:val="24"/>
          <w:szCs w:val="24"/>
        </w:rPr>
        <w:t>27,da</w:t>
      </w:r>
      <w:proofErr w:type="gramEnd"/>
      <w:r w:rsidRPr="00CB08C4">
        <w:rPr>
          <w:sz w:val="24"/>
          <w:szCs w:val="24"/>
        </w:rPr>
        <w:t xml:space="preserve"> Lei nº 8.625/1993; </w:t>
      </w:r>
    </w:p>
    <w:p w:rsidR="00CB08C4" w:rsidRDefault="00CB08C4" w:rsidP="00CB08C4">
      <w:pPr>
        <w:jc w:val="both"/>
        <w:rPr>
          <w:sz w:val="24"/>
          <w:szCs w:val="24"/>
        </w:rPr>
      </w:pPr>
    </w:p>
    <w:p w:rsidR="00CB08C4" w:rsidRDefault="00CB08C4" w:rsidP="00CB08C4">
      <w:pPr>
        <w:jc w:val="both"/>
        <w:rPr>
          <w:sz w:val="24"/>
          <w:szCs w:val="24"/>
        </w:rPr>
      </w:pPr>
      <w:r w:rsidRPr="00CB08C4">
        <w:rPr>
          <w:sz w:val="24"/>
          <w:szCs w:val="24"/>
        </w:rPr>
        <w:t xml:space="preserve">CONSIDERANDO a promoção da defesa dos consumidores pelo Estado, como princípio da ordem econômica, objetivando assegurar a todos existência digna, nos ditames da justiça social, conforme disposto no inciso XXXII, do artigo 5º, e inciso V, do artigo 170, ambos da Constituição Federal; </w:t>
      </w:r>
    </w:p>
    <w:p w:rsidR="00CB08C4" w:rsidRDefault="00CB08C4" w:rsidP="00CB08C4">
      <w:pPr>
        <w:jc w:val="both"/>
        <w:rPr>
          <w:sz w:val="24"/>
          <w:szCs w:val="24"/>
        </w:rPr>
      </w:pPr>
      <w:r w:rsidRPr="00CB08C4">
        <w:rPr>
          <w:sz w:val="24"/>
          <w:szCs w:val="24"/>
        </w:rPr>
        <w:t xml:space="preserve">CONSIDERANDO a necessidade de garantir o acesso à educação, tendo em vista o disposto nos </w:t>
      </w:r>
      <w:proofErr w:type="spellStart"/>
      <w:r w:rsidRPr="00CB08C4">
        <w:rPr>
          <w:sz w:val="24"/>
          <w:szCs w:val="24"/>
        </w:rPr>
        <w:t>arts</w:t>
      </w:r>
      <w:proofErr w:type="spellEnd"/>
      <w:r w:rsidRPr="00CB08C4">
        <w:rPr>
          <w:sz w:val="24"/>
          <w:szCs w:val="24"/>
        </w:rPr>
        <w:t xml:space="preserve">. 6°, 205 e 209 da Constituição Federal; </w:t>
      </w:r>
    </w:p>
    <w:p w:rsidR="00CB08C4" w:rsidRDefault="00CB08C4" w:rsidP="00CB08C4">
      <w:pPr>
        <w:jc w:val="both"/>
        <w:rPr>
          <w:sz w:val="24"/>
          <w:szCs w:val="24"/>
        </w:rPr>
      </w:pPr>
      <w:r w:rsidRPr="00CB08C4">
        <w:rPr>
          <w:sz w:val="24"/>
          <w:szCs w:val="24"/>
        </w:rPr>
        <w:t xml:space="preserve">CONSIDERANDO que a Política Nacional das Relações de Consumo tem por objetivo o respeito à dignidade, saúde e segurança do consumidor, a proteção de seus interesses econômicos, a melhoria da sua qualidade de vida, bem como a transparência e harmonia das relações de consumo, nos termos do art. 4º, caput, do Código de Defesa do Consumidor; </w:t>
      </w:r>
    </w:p>
    <w:p w:rsidR="00CB08C4" w:rsidRDefault="00CB08C4" w:rsidP="00CB08C4">
      <w:pPr>
        <w:jc w:val="both"/>
        <w:rPr>
          <w:sz w:val="24"/>
          <w:szCs w:val="24"/>
        </w:rPr>
      </w:pPr>
      <w:r w:rsidRPr="00CB08C4">
        <w:rPr>
          <w:sz w:val="24"/>
          <w:szCs w:val="24"/>
        </w:rPr>
        <w:t xml:space="preserve">CONSIDERANDO que o inciso V do art. 6º do Código de Defesa do Consumidor estabelece como direito básico do consumidor, a modificação das cláusulas contratuais que estabeleçam prestações desproporcionais ou sua revisão em razão de fatos supervenientes que as tornem excessivamente onerosas e que o inc. III do mesmo artigo assegura o direito à informação como direito básico; CONSIDERANDO que, em 30.1.2020, a Organização Mundial da Saúde (OMS) declarou que o surto da doença causada pelo </w:t>
      </w:r>
      <w:proofErr w:type="spellStart"/>
      <w:r w:rsidRPr="00CB08C4">
        <w:rPr>
          <w:sz w:val="24"/>
          <w:szCs w:val="24"/>
        </w:rPr>
        <w:t>Coronavírus</w:t>
      </w:r>
      <w:proofErr w:type="spellEnd"/>
      <w:r w:rsidRPr="00CB08C4">
        <w:rPr>
          <w:sz w:val="24"/>
          <w:szCs w:val="24"/>
        </w:rPr>
        <w:t xml:space="preserve"> (COVID-19) constitui Emergência de Saúde Pública de Importância Internacional (ESPII) e em 11.03.2020, declarou pandemia para o </w:t>
      </w:r>
      <w:proofErr w:type="spellStart"/>
      <w:r w:rsidRPr="00CB08C4">
        <w:rPr>
          <w:sz w:val="24"/>
          <w:szCs w:val="24"/>
        </w:rPr>
        <w:t>Coronavírus</w:t>
      </w:r>
      <w:proofErr w:type="spellEnd"/>
      <w:r w:rsidRPr="00CB08C4">
        <w:rPr>
          <w:sz w:val="24"/>
          <w:szCs w:val="24"/>
        </w:rPr>
        <w:t xml:space="preserve">; CONSIDERANDO que o Governador do Estado, editou várias normas voltadas ao enfrentamento da pandemia do </w:t>
      </w:r>
      <w:proofErr w:type="spellStart"/>
      <w:r w:rsidRPr="00CB08C4">
        <w:rPr>
          <w:sz w:val="24"/>
          <w:szCs w:val="24"/>
        </w:rPr>
        <w:t>Coronavírus</w:t>
      </w:r>
      <w:proofErr w:type="spellEnd"/>
      <w:r w:rsidRPr="00CB08C4">
        <w:rPr>
          <w:sz w:val="24"/>
          <w:szCs w:val="24"/>
        </w:rPr>
        <w:t xml:space="preserve"> (COVID-19), dentre outros os Decretos nº 48.809 e 48.810, de 14 e 16 de março de 2020, bem como o Decreto nº 48.958 de 17 de abril de 2020, que suspende as atividades econômicas até 30 de abril de 2020; </w:t>
      </w:r>
    </w:p>
    <w:p w:rsidR="00CB08C4" w:rsidRDefault="00CB08C4" w:rsidP="00CB08C4">
      <w:pPr>
        <w:jc w:val="both"/>
        <w:rPr>
          <w:sz w:val="24"/>
          <w:szCs w:val="24"/>
        </w:rPr>
      </w:pPr>
      <w:r w:rsidRPr="00CB08C4">
        <w:rPr>
          <w:sz w:val="24"/>
          <w:szCs w:val="24"/>
        </w:rPr>
        <w:t>CONSIDERANDO o disposto no art. 2º do Decreto Federal nº 9.057/2017, o qual dispõe que a educação básica poderá ser ofertada na modalidade à distância, bem como a Portaria MEC nº 395 de 15.04.2020 que prorrogou o prazo previsto na Portaria 343/20, por mais trinta dias; CONSIDERANDO a necessidade de observar as disposições contidas na Medida Provisória nº 934/20 de 1º de abril de 2020, a qual estabelece em seu art.1º que o estabelecimento de ensino de educação básica fica dispensado, em caráter excepcional, da obrigatoriedade de observância ao mínimo de dias de efetivo trabalho escolar, nos termos do disposto no</w:t>
      </w:r>
      <w:r w:rsidRPr="00CB08C4">
        <w:rPr>
          <w:sz w:val="24"/>
          <w:szCs w:val="24"/>
        </w:rPr>
        <w:t xml:space="preserve"> </w:t>
      </w:r>
      <w:r w:rsidRPr="00CB08C4">
        <w:rPr>
          <w:sz w:val="24"/>
          <w:szCs w:val="24"/>
        </w:rPr>
        <w:t xml:space="preserve">inciso I do caput e no § 1º do art. 24 e no inciso II do caput do art. 31 da Lei nº 9.394, de 20 de dezembro de 1996,desde que cumprida a carga horária mínima anual estabelecida nos referidos dispositivos, observadas as normas a serem editadas pelos respectivos sistemas de ensino; </w:t>
      </w:r>
    </w:p>
    <w:p w:rsidR="00CB08C4" w:rsidRDefault="00CB08C4" w:rsidP="00CB08C4">
      <w:pPr>
        <w:jc w:val="both"/>
        <w:rPr>
          <w:sz w:val="24"/>
          <w:szCs w:val="24"/>
        </w:rPr>
      </w:pPr>
      <w:r w:rsidRPr="00CB08C4">
        <w:rPr>
          <w:sz w:val="24"/>
          <w:szCs w:val="24"/>
        </w:rPr>
        <w:lastRenderedPageBreak/>
        <w:t xml:space="preserve">CONSIDERANDO a edição da Medida Provisória 936/2020 que assegura a possibilidade de suspensão temporária do contrato de trabalho durante o estado de calamidade pública, pelo prazo máximo de sessenta dias; </w:t>
      </w:r>
    </w:p>
    <w:p w:rsidR="00CB08C4" w:rsidRDefault="00CB08C4" w:rsidP="00CB08C4">
      <w:pPr>
        <w:jc w:val="both"/>
        <w:rPr>
          <w:sz w:val="24"/>
          <w:szCs w:val="24"/>
        </w:rPr>
      </w:pPr>
      <w:r w:rsidRPr="00CB08C4">
        <w:rPr>
          <w:sz w:val="24"/>
          <w:szCs w:val="24"/>
        </w:rPr>
        <w:t xml:space="preserve">CONSIDERANDO o momento de absoluta excepcionalidade, em complemento aos dispositivos já estabelecidos pelos Poderes Públicos, destacando-se também que a harmonia e a flexibilização devem ser a tônica para viabilizar a realização dos necessários acordos entre os estabelecimentos de ensino e os pais/responsáveis; </w:t>
      </w:r>
    </w:p>
    <w:p w:rsidR="00CB08C4" w:rsidRDefault="00CB08C4" w:rsidP="00CB08C4">
      <w:pPr>
        <w:jc w:val="both"/>
        <w:rPr>
          <w:sz w:val="24"/>
          <w:szCs w:val="24"/>
        </w:rPr>
      </w:pPr>
      <w:r w:rsidRPr="00CB08C4">
        <w:rPr>
          <w:sz w:val="24"/>
          <w:szCs w:val="24"/>
        </w:rPr>
        <w:t xml:space="preserve">CONSIDERANDO o quanto debatido e deliberado nas reuniões virtuais promovidas pelo MPPE, nos dias 22 e 27 de abril, com a participação de representantes de diversas instituições e setores; </w:t>
      </w:r>
    </w:p>
    <w:p w:rsidR="00CB08C4" w:rsidRDefault="00CB08C4" w:rsidP="00CB08C4">
      <w:pPr>
        <w:jc w:val="both"/>
        <w:rPr>
          <w:sz w:val="24"/>
          <w:szCs w:val="24"/>
        </w:rPr>
      </w:pPr>
    </w:p>
    <w:p w:rsidR="00CB08C4" w:rsidRDefault="00CB08C4" w:rsidP="00CB08C4">
      <w:pPr>
        <w:jc w:val="both"/>
        <w:rPr>
          <w:sz w:val="24"/>
          <w:szCs w:val="24"/>
        </w:rPr>
      </w:pPr>
      <w:r w:rsidRPr="00CB08C4">
        <w:rPr>
          <w:sz w:val="24"/>
          <w:szCs w:val="24"/>
        </w:rPr>
        <w:t xml:space="preserve">RESOLVE RECOMENDAR: </w:t>
      </w:r>
    </w:p>
    <w:p w:rsidR="00CB08C4" w:rsidRDefault="00CB08C4" w:rsidP="00CB08C4">
      <w:pPr>
        <w:jc w:val="both"/>
        <w:rPr>
          <w:sz w:val="24"/>
          <w:szCs w:val="24"/>
        </w:rPr>
      </w:pPr>
    </w:p>
    <w:p w:rsidR="00CB08C4" w:rsidRPr="00CB08C4" w:rsidRDefault="00CB08C4" w:rsidP="00CB08C4">
      <w:pPr>
        <w:pStyle w:val="PargrafodaLista"/>
        <w:numPr>
          <w:ilvl w:val="0"/>
          <w:numId w:val="5"/>
        </w:numPr>
        <w:jc w:val="both"/>
        <w:rPr>
          <w:sz w:val="24"/>
          <w:szCs w:val="24"/>
        </w:rPr>
      </w:pPr>
      <w:r w:rsidRPr="00CB08C4">
        <w:rPr>
          <w:sz w:val="24"/>
          <w:szCs w:val="24"/>
        </w:rPr>
        <w:t xml:space="preserve">Às instituições de ensino fundamental e médio situadas no Município do Cabo de Santo Agostinho, que: 1.1- Disponibilizem aos pais/responsáveis proposta de revisão contratual, encaminhando planilha de custos referente ao planejamento do ano de 2020 (art. 1º da Lei 9.870/99) e relatório descritivo correspondente aos custos efetivamente realizados no período da suspensão das aulas presenciais, a fim de viabilizar os acordos concedendo a partir da mensalidade de maio, os descontos correspondentes à respectiva redução, a qual deverá ser linear, ou seja, igual para todos os alunos, e não deve ser compensada com outros descontos já implementados anteriormente em relação a mensalidades, devendo refletir, de forma proporcional, a redução de custos vivenciada pela instituição, em decorrência da suspensão das aulas presenciais; 1.2- Apresentem aos pais /responsáveis até o dia 05 de maio de 2020 plano de contingência com previsão das ações a serem implementadas por cada estabelecimento que deverá conter informações de carga horária, aulas presenciais e à distância, na hipótese de cenários diversos diante da possibilidade de suspensão das atividades pedagógicas presenciais durante todo o mês de maio, ou caso dita suspensão se prolongue para além do citado período; </w:t>
      </w:r>
    </w:p>
    <w:p w:rsidR="00CB08C4" w:rsidRDefault="00CB08C4" w:rsidP="00CB08C4">
      <w:pPr>
        <w:pStyle w:val="PargrafodaLista"/>
        <w:numPr>
          <w:ilvl w:val="0"/>
          <w:numId w:val="5"/>
        </w:numPr>
        <w:jc w:val="both"/>
        <w:rPr>
          <w:sz w:val="24"/>
          <w:szCs w:val="24"/>
        </w:rPr>
      </w:pPr>
      <w:r w:rsidRPr="00CB08C4">
        <w:rPr>
          <w:sz w:val="24"/>
          <w:szCs w:val="24"/>
        </w:rPr>
        <w:t xml:space="preserve">2- Às instituições de ensino infantil situadas no Município do Cabo de Santo Agostinho , que: 2.1- Incentivem os pais/responsáveis a postergarem a execução do contrato, suspendendo os contratos de educação infantil até o final do isolamento social, face à impossibilidade de regime </w:t>
      </w:r>
      <w:proofErr w:type="spellStart"/>
      <w:r w:rsidRPr="00CB08C4">
        <w:rPr>
          <w:sz w:val="24"/>
          <w:szCs w:val="24"/>
        </w:rPr>
        <w:t>telepresencial</w:t>
      </w:r>
      <w:proofErr w:type="spellEnd"/>
      <w:r w:rsidRPr="00CB08C4">
        <w:rPr>
          <w:sz w:val="24"/>
          <w:szCs w:val="24"/>
        </w:rPr>
        <w:t xml:space="preserve">; 2.2 - Encaminhe aos pais/responsáveis planilha de custos referente ao planejamento do ano de 2020 (art. 1º da Lei 9.870/99) e relatório descritivo correspondente aos custos efetivamente realizados no período da suspensão, com a finalidade de viabilizar a transparência para os acordos, considerando-se as peculiaridades intrínsecas à educação infantil; 2.3- Sigam as orientações emitidas pelo Conselho Nacional de Educação, em parecer emitido na presente data, a ser publicado nos próximos dias, promovendo a reposição das aulas presenciais, dentro dos parâmetros de flexibilização da cara horária a serem estabelecidos pelas autoridades responsáveis, quando </w:t>
      </w:r>
      <w:r w:rsidRPr="00CB08C4">
        <w:rPr>
          <w:sz w:val="24"/>
          <w:szCs w:val="24"/>
        </w:rPr>
        <w:lastRenderedPageBreak/>
        <w:t xml:space="preserve">do término do período de isolamento social; procurando incentivar o contato dos pais e responsáveis de alunos com os professores, de forma não presencial a fim de viabilizar a orientação quanto a atividades a serem desenvolvidas, sem que tais atividades caracterizem ensino a distância, observados os parâmetros estabelecidos no citado parecer; </w:t>
      </w:r>
    </w:p>
    <w:p w:rsidR="00CB08C4" w:rsidRDefault="00CB08C4" w:rsidP="00CB08C4">
      <w:pPr>
        <w:pStyle w:val="PargrafodaLista"/>
        <w:numPr>
          <w:ilvl w:val="0"/>
          <w:numId w:val="5"/>
        </w:numPr>
        <w:jc w:val="both"/>
        <w:rPr>
          <w:sz w:val="24"/>
          <w:szCs w:val="24"/>
        </w:rPr>
      </w:pPr>
      <w:r w:rsidRPr="00CB08C4">
        <w:rPr>
          <w:sz w:val="24"/>
          <w:szCs w:val="24"/>
        </w:rPr>
        <w:t xml:space="preserve">Aos estabelecimentos de ensinos em geral, situados no Cabo de Santo Agostinho que: 3.1 - Em relação aos contratos acessórios: Não havendo prestação de serviços extracurriculares durante a paralisação </w:t>
      </w:r>
      <w:proofErr w:type="spellStart"/>
      <w:r w:rsidRPr="00CB08C4">
        <w:rPr>
          <w:sz w:val="24"/>
          <w:szCs w:val="24"/>
        </w:rPr>
        <w:t>temporária,como</w:t>
      </w:r>
      <w:proofErr w:type="spellEnd"/>
      <w:r w:rsidRPr="00CB08C4">
        <w:rPr>
          <w:sz w:val="24"/>
          <w:szCs w:val="24"/>
        </w:rPr>
        <w:t xml:space="preserve"> atividades esportivas, musicais, artísticas, transporte e alimentação, os valores eventualmente cobrados devem ser restituídos ou creditados, suspendendo-se cobranças vincendas, até retomada dos serviços; 3.2 Em relação aos canais de atendimento: Disponibilize e divulguem os necessários canais de atendimento, incluindo um coletivo para tratativas de questões administrativas e financeiras decorrentes da COVID e outro para questões pedagógicas; 3.3 - Em relação às sanções por inadimplemento: As sanções contratuais devem ser flexibilizadas de modo a permitir àqueles que não puderem arcar com o pagamento das mensalidades possam fazê-lo posteriormente sem encargos financeiros, bem como a exclusão da multa rescisória, tendo em vista o disposto nos artigos 393 do Código Civil e no inciso V do art. 6º do Código de Defesa do Consumidor; 3.4- A redução do valor das mensalidades não deve ser compensada com outros abatimentos nos contratos escolares já existentes; 3.5- Não deverá ser exigido comprovante de rendimentos para concessão da redução do valor das mensalidades, devendo o abatimento ser concedido, sempre que possível de forma linear; 4- Encaminhe-se cópia da recomendação à Secretaria Estadual de Educação e Secretaria Municipal de Educação para fins de acompanhamento; </w:t>
      </w:r>
    </w:p>
    <w:p w:rsidR="00980337" w:rsidRPr="00CB08C4" w:rsidRDefault="00CB08C4" w:rsidP="00CB08C4">
      <w:pPr>
        <w:pStyle w:val="PargrafodaLista"/>
        <w:jc w:val="both"/>
        <w:rPr>
          <w:sz w:val="24"/>
          <w:szCs w:val="24"/>
        </w:rPr>
      </w:pPr>
      <w:bookmarkStart w:id="0" w:name="_GoBack"/>
      <w:bookmarkEnd w:id="0"/>
      <w:r w:rsidRPr="00CB08C4">
        <w:rPr>
          <w:sz w:val="24"/>
          <w:szCs w:val="24"/>
        </w:rPr>
        <w:t xml:space="preserve">5- Encaminhe-se cópia da presente recomendação ao PROCON CABO, ara que remeta cópia desta </w:t>
      </w:r>
      <w:proofErr w:type="spellStart"/>
      <w:r w:rsidRPr="00CB08C4">
        <w:rPr>
          <w:sz w:val="24"/>
          <w:szCs w:val="24"/>
        </w:rPr>
        <w:t>àos</w:t>
      </w:r>
      <w:proofErr w:type="spellEnd"/>
      <w:r w:rsidRPr="00CB08C4">
        <w:rPr>
          <w:sz w:val="24"/>
          <w:szCs w:val="24"/>
        </w:rPr>
        <w:t xml:space="preserve"> estabelecimentos de ensino infantil, fundamental e médio situados neste Município, bem como fiscalize o cumprimento da presente Recomendação, encaminhando relatório </w:t>
      </w:r>
      <w:proofErr w:type="gramStart"/>
      <w:r w:rsidRPr="00CB08C4">
        <w:rPr>
          <w:sz w:val="24"/>
          <w:szCs w:val="24"/>
        </w:rPr>
        <w:t>circunstanciado ,</w:t>
      </w:r>
      <w:proofErr w:type="gramEnd"/>
      <w:r w:rsidRPr="00CB08C4">
        <w:rPr>
          <w:sz w:val="24"/>
          <w:szCs w:val="24"/>
        </w:rPr>
        <w:t xml:space="preserve"> no prazo de 15 dias. Encaminhe-se, ainda, cópia da presente Recomendação à Secretaria Geral do Ministério Público do Estado de Pernambuco, para que promova a publicação no Diário Oficial do Estado, ao Centro de Apoio Operacional às Promotorias de Defesa do Consumidor, para fins de conhecimento e registro e ao Conselho Superior do Ministério Público, para conhecimento. Remeta-se cópia desta Recomendação ao Gabinete de Acompanhamento da Pandemia </w:t>
      </w:r>
      <w:proofErr w:type="spellStart"/>
      <w:r w:rsidRPr="00CB08C4">
        <w:rPr>
          <w:sz w:val="24"/>
          <w:szCs w:val="24"/>
        </w:rPr>
        <w:t>Coronavírus</w:t>
      </w:r>
      <w:proofErr w:type="spellEnd"/>
      <w:r w:rsidRPr="00CB08C4">
        <w:rPr>
          <w:sz w:val="24"/>
          <w:szCs w:val="24"/>
        </w:rPr>
        <w:t xml:space="preserve"> do MPPE, para conhecimento. Cabo de Santo Agostinho, 29 de abril de 2020 Alice de Oliveira Morais Promotora de Justiça da 2ª PJDC Cabo de Santo Agostinho ALICE DE OLIVEIRA MORAIS</w:t>
      </w:r>
    </w:p>
    <w:sectPr w:rsidR="00980337" w:rsidRPr="00CB08C4">
      <w:headerReference w:type="default" r:id="rId7"/>
      <w:footerReference w:type="default" r:id="rId8"/>
      <w:pgSz w:w="11906" w:h="16838"/>
      <w:pgMar w:top="3653" w:right="850" w:bottom="2154" w:left="1701" w:header="1417" w:footer="141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77A6" w:rsidRDefault="00D177A6">
      <w:r>
        <w:separator/>
      </w:r>
    </w:p>
  </w:endnote>
  <w:endnote w:type="continuationSeparator" w:id="0">
    <w:p w:rsidR="00D177A6" w:rsidRDefault="00D17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mbrella">
    <w:altName w:val="Calibri"/>
    <w:charset w:val="00"/>
    <w:family w:val="swiss"/>
    <w:pitch w:val="variable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3454" w:rsidRDefault="00503454">
    <w:pPr>
      <w:pStyle w:val="Corpodetexto"/>
      <w:jc w:val="both"/>
      <w:rPr>
        <w:rFonts w:ascii="Verdana" w:hAnsi="Verdana"/>
        <w:color w:val="000000"/>
        <w:sz w:val="16"/>
        <w:szCs w:val="16"/>
      </w:rPr>
    </w:pPr>
  </w:p>
  <w:p w:rsidR="00503454" w:rsidRDefault="00503454">
    <w:pPr>
      <w:pStyle w:val="Corpodetexto"/>
      <w:jc w:val="both"/>
      <w:rPr>
        <w:rFonts w:ascii="Verdana" w:hAnsi="Verdana"/>
        <w:color w:val="000000"/>
        <w:sz w:val="16"/>
        <w:szCs w:val="16"/>
      </w:rPr>
    </w:pPr>
  </w:p>
  <w:p w:rsidR="00503454" w:rsidRDefault="0050345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77A6" w:rsidRDefault="00D177A6">
      <w:r>
        <w:separator/>
      </w:r>
    </w:p>
  </w:footnote>
  <w:footnote w:type="continuationSeparator" w:id="0">
    <w:p w:rsidR="00D177A6" w:rsidRDefault="00D177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3454" w:rsidRDefault="00E85A33">
    <w:pPr>
      <w:pStyle w:val="Cabealho"/>
      <w:jc w:val="center"/>
    </w:pPr>
    <w:r>
      <w:rPr>
        <w:noProof/>
        <w:lang w:eastAsia="pt-BR"/>
      </w:rPr>
      <w:drawing>
        <wp:anchor distT="0" distB="0" distL="0" distR="0" simplePos="0" relativeHeight="251657728" behindDoc="0" locked="0" layoutInCell="1" allowOverlap="1">
          <wp:simplePos x="0" y="0"/>
          <wp:positionH relativeFrom="column">
            <wp:posOffset>1837055</wp:posOffset>
          </wp:positionH>
          <wp:positionV relativeFrom="paragraph">
            <wp:posOffset>-144145</wp:posOffset>
          </wp:positionV>
          <wp:extent cx="2092960" cy="949325"/>
          <wp:effectExtent l="0" t="0" r="0" b="0"/>
          <wp:wrapSquare wrapText="largest"/>
          <wp:docPr id="4" name="Imagem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993" t="-1768" r="-993" b="-1768"/>
                  <a:stretch>
                    <a:fillRect/>
                  </a:stretch>
                </pic:blipFill>
                <pic:spPr bwMode="auto">
                  <a:xfrm>
                    <a:off x="0" y="0"/>
                    <a:ext cx="2092960" cy="94932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03454" w:rsidRDefault="00503454">
    <w:pPr>
      <w:pStyle w:val="Cabealho"/>
      <w:jc w:val="center"/>
    </w:pPr>
  </w:p>
  <w:p w:rsidR="00503454" w:rsidRDefault="00503454">
    <w:pPr>
      <w:pStyle w:val="Cabealho"/>
      <w:jc w:val="center"/>
    </w:pPr>
  </w:p>
  <w:p w:rsidR="00503454" w:rsidRDefault="00503454">
    <w:pPr>
      <w:pStyle w:val="Cabealho"/>
      <w:jc w:val="center"/>
    </w:pPr>
  </w:p>
  <w:p w:rsidR="00503454" w:rsidRDefault="00503454">
    <w:pPr>
      <w:pStyle w:val="Cabealho"/>
      <w:jc w:val="center"/>
    </w:pPr>
  </w:p>
  <w:p w:rsidR="00503454" w:rsidRDefault="00503454">
    <w:pPr>
      <w:pStyle w:val="Cabealho"/>
      <w:jc w:val="center"/>
      <w:rPr>
        <w:rFonts w:ascii="Tahoma" w:eastAsia="Tahoma" w:hAnsi="Tahoma" w:cs="Tahoma"/>
        <w:b/>
        <w:bCs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</w:p>
  <w:p w:rsidR="00A16FE8" w:rsidRPr="00CB08C4" w:rsidRDefault="00CB08C4" w:rsidP="00CB08C4">
    <w:pPr>
      <w:pStyle w:val="Cabealho"/>
      <w:jc w:val="center"/>
      <w:rPr>
        <w:rFonts w:ascii="Tahoma" w:eastAsia="Tahoma" w:hAnsi="Tahoma" w:cs="Tahoma"/>
        <w:b/>
        <w:bCs/>
        <w:sz w:val="24"/>
        <w:szCs w:val="2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CB08C4">
      <w:rPr>
        <w:b/>
        <w:sz w:val="24"/>
        <w:szCs w:val="24"/>
      </w:rPr>
      <w:t>2ª PROMOTORIA DE JUSTIÇA DE DEFESA DA CIDADANIA DO CABO DE SANTO AGOSTINHO COM ATUAÇÃO NA PROMOÇÃO E DEFESA DOS DIREITOS DO CONSUMIDOR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Verdana" w:hAnsi="Verdana" w:cs="Verdana"/>
        <w:sz w:val="24"/>
        <w:szCs w:val="24"/>
        <w:lang w:val="pt-BR" w:eastAsia="zh-CN" w:bidi="ar-SA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35C1B18"/>
    <w:multiLevelType w:val="hybridMultilevel"/>
    <w:tmpl w:val="770ED82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6319D2"/>
    <w:multiLevelType w:val="hybridMultilevel"/>
    <w:tmpl w:val="CB3C4E84"/>
    <w:lvl w:ilvl="0" w:tplc="D9B449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F36423"/>
    <w:multiLevelType w:val="hybridMultilevel"/>
    <w:tmpl w:val="4F98F01A"/>
    <w:lvl w:ilvl="0" w:tplc="AAFC27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displayBackgroundShape/>
  <w:embedSystemFonts/>
  <w:activeWritingStyle w:appName="MSWord" w:lang="pt-BR" w:vendorID="64" w:dllVersion="131078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A33"/>
    <w:rsid w:val="00022346"/>
    <w:rsid w:val="00027483"/>
    <w:rsid w:val="000A264A"/>
    <w:rsid w:val="000B2339"/>
    <w:rsid w:val="000C0E62"/>
    <w:rsid w:val="000C5512"/>
    <w:rsid w:val="000E388A"/>
    <w:rsid w:val="000F24B5"/>
    <w:rsid w:val="0010069F"/>
    <w:rsid w:val="00104B84"/>
    <w:rsid w:val="0013195A"/>
    <w:rsid w:val="00161AA7"/>
    <w:rsid w:val="001A7DC3"/>
    <w:rsid w:val="001B0E9C"/>
    <w:rsid w:val="001F42DA"/>
    <w:rsid w:val="002046FB"/>
    <w:rsid w:val="0021338B"/>
    <w:rsid w:val="002146E4"/>
    <w:rsid w:val="0022355C"/>
    <w:rsid w:val="00234067"/>
    <w:rsid w:val="00251AD2"/>
    <w:rsid w:val="00254A14"/>
    <w:rsid w:val="00275A7D"/>
    <w:rsid w:val="00284A97"/>
    <w:rsid w:val="002B3E56"/>
    <w:rsid w:val="002D2DC2"/>
    <w:rsid w:val="00303B51"/>
    <w:rsid w:val="00304DA0"/>
    <w:rsid w:val="003070B5"/>
    <w:rsid w:val="00322A53"/>
    <w:rsid w:val="00332FC3"/>
    <w:rsid w:val="0034079C"/>
    <w:rsid w:val="003417A6"/>
    <w:rsid w:val="00341CB3"/>
    <w:rsid w:val="0036377D"/>
    <w:rsid w:val="00382D78"/>
    <w:rsid w:val="00385346"/>
    <w:rsid w:val="003E7369"/>
    <w:rsid w:val="00411162"/>
    <w:rsid w:val="00412193"/>
    <w:rsid w:val="004514AC"/>
    <w:rsid w:val="00455BC1"/>
    <w:rsid w:val="0048517E"/>
    <w:rsid w:val="00490903"/>
    <w:rsid w:val="004C5466"/>
    <w:rsid w:val="004D3BD1"/>
    <w:rsid w:val="004F7E7B"/>
    <w:rsid w:val="00503454"/>
    <w:rsid w:val="00523885"/>
    <w:rsid w:val="005243DA"/>
    <w:rsid w:val="00553A59"/>
    <w:rsid w:val="00556380"/>
    <w:rsid w:val="0057109E"/>
    <w:rsid w:val="00584F4B"/>
    <w:rsid w:val="006160D7"/>
    <w:rsid w:val="006201D2"/>
    <w:rsid w:val="00623720"/>
    <w:rsid w:val="0067388B"/>
    <w:rsid w:val="00674EF1"/>
    <w:rsid w:val="007125D5"/>
    <w:rsid w:val="007230C3"/>
    <w:rsid w:val="0072503B"/>
    <w:rsid w:val="00725F57"/>
    <w:rsid w:val="00737DB1"/>
    <w:rsid w:val="00744642"/>
    <w:rsid w:val="00776587"/>
    <w:rsid w:val="007C5E6E"/>
    <w:rsid w:val="007D122D"/>
    <w:rsid w:val="007D2876"/>
    <w:rsid w:val="007D51A8"/>
    <w:rsid w:val="007D53E1"/>
    <w:rsid w:val="007F65E9"/>
    <w:rsid w:val="0080339C"/>
    <w:rsid w:val="00810350"/>
    <w:rsid w:val="00845F1D"/>
    <w:rsid w:val="00875A20"/>
    <w:rsid w:val="00881A45"/>
    <w:rsid w:val="008B5A91"/>
    <w:rsid w:val="008C5812"/>
    <w:rsid w:val="008C631A"/>
    <w:rsid w:val="008D69F5"/>
    <w:rsid w:val="008E17E0"/>
    <w:rsid w:val="008E4F21"/>
    <w:rsid w:val="009102BF"/>
    <w:rsid w:val="00923E64"/>
    <w:rsid w:val="00975CA0"/>
    <w:rsid w:val="00980337"/>
    <w:rsid w:val="009A161F"/>
    <w:rsid w:val="009D5BBB"/>
    <w:rsid w:val="009D6E30"/>
    <w:rsid w:val="00A16FE8"/>
    <w:rsid w:val="00A366A9"/>
    <w:rsid w:val="00A45F91"/>
    <w:rsid w:val="00A5696C"/>
    <w:rsid w:val="00A61523"/>
    <w:rsid w:val="00A74EB4"/>
    <w:rsid w:val="00A819FE"/>
    <w:rsid w:val="00A907ED"/>
    <w:rsid w:val="00AA5411"/>
    <w:rsid w:val="00AD6AAE"/>
    <w:rsid w:val="00B17208"/>
    <w:rsid w:val="00B20371"/>
    <w:rsid w:val="00B37A4C"/>
    <w:rsid w:val="00B648B2"/>
    <w:rsid w:val="00B7598E"/>
    <w:rsid w:val="00BE35A1"/>
    <w:rsid w:val="00BF6B86"/>
    <w:rsid w:val="00C11D52"/>
    <w:rsid w:val="00C26EE5"/>
    <w:rsid w:val="00C34136"/>
    <w:rsid w:val="00C34340"/>
    <w:rsid w:val="00CB08C4"/>
    <w:rsid w:val="00CC42B6"/>
    <w:rsid w:val="00CD1196"/>
    <w:rsid w:val="00CE1D88"/>
    <w:rsid w:val="00CE44E4"/>
    <w:rsid w:val="00CE48AD"/>
    <w:rsid w:val="00CF17E5"/>
    <w:rsid w:val="00D0018F"/>
    <w:rsid w:val="00D177A6"/>
    <w:rsid w:val="00D4669F"/>
    <w:rsid w:val="00D556F1"/>
    <w:rsid w:val="00D60435"/>
    <w:rsid w:val="00D8136A"/>
    <w:rsid w:val="00DA101C"/>
    <w:rsid w:val="00DF457B"/>
    <w:rsid w:val="00DF6898"/>
    <w:rsid w:val="00E06D1F"/>
    <w:rsid w:val="00E36F86"/>
    <w:rsid w:val="00E5090F"/>
    <w:rsid w:val="00E51504"/>
    <w:rsid w:val="00E60818"/>
    <w:rsid w:val="00E629D1"/>
    <w:rsid w:val="00E63230"/>
    <w:rsid w:val="00E71BE5"/>
    <w:rsid w:val="00E85A33"/>
    <w:rsid w:val="00EA3E32"/>
    <w:rsid w:val="00EC2E3E"/>
    <w:rsid w:val="00EC4D02"/>
    <w:rsid w:val="00EC6426"/>
    <w:rsid w:val="00ED14ED"/>
    <w:rsid w:val="00EE782F"/>
    <w:rsid w:val="00EF1B72"/>
    <w:rsid w:val="00F12938"/>
    <w:rsid w:val="00F14F4A"/>
    <w:rsid w:val="00F51036"/>
    <w:rsid w:val="00F6149A"/>
    <w:rsid w:val="00F82BF1"/>
    <w:rsid w:val="00FA711F"/>
    <w:rsid w:val="00FD6179"/>
    <w:rsid w:val="00FD65B9"/>
    <w:rsid w:val="00FE2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3E6D3392-0496-6349-8C11-3AD3FD10F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tabs>
        <w:tab w:val="left" w:pos="3969"/>
      </w:tabs>
      <w:ind w:left="567"/>
      <w:jc w:val="both"/>
      <w:outlineLvl w:val="0"/>
    </w:pPr>
    <w:rPr>
      <w:rFonts w:ascii="Garamond" w:hAnsi="Garamond" w:cs="Garamond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Verdana" w:hAnsi="Verdana" w:cs="Verdana"/>
      <w:sz w:val="24"/>
      <w:szCs w:val="24"/>
      <w:lang w:val="pt-BR" w:eastAsia="zh-CN" w:bidi="ar-SA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Fontepargpadro1">
    <w:name w:val="Fonte parág. padrão1"/>
  </w:style>
  <w:style w:type="character" w:customStyle="1" w:styleId="Heading1Char">
    <w:name w:val="Heading 1 Char"/>
    <w:basedOn w:val="Fontepargpadro1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FooterChar">
    <w:name w:val="Footer Char"/>
    <w:basedOn w:val="Fontepargpadro1"/>
    <w:rPr>
      <w:rFonts w:cs="Times New Roman"/>
    </w:rPr>
  </w:style>
  <w:style w:type="character" w:styleId="Nmerodepgina">
    <w:name w:val="page number"/>
    <w:basedOn w:val="Fontepargpadro1"/>
    <w:rPr>
      <w:rFonts w:cs="Times New Roman"/>
    </w:rPr>
  </w:style>
  <w:style w:type="character" w:customStyle="1" w:styleId="BodyText3Char">
    <w:name w:val="Body Text 3 Char"/>
    <w:basedOn w:val="Fontepargpadro1"/>
    <w:rPr>
      <w:rFonts w:cs="Times New Roman"/>
      <w:sz w:val="16"/>
      <w:szCs w:val="16"/>
    </w:rPr>
  </w:style>
  <w:style w:type="character" w:customStyle="1" w:styleId="BalloonTextChar">
    <w:name w:val="Balloon Text Char"/>
    <w:basedOn w:val="Fontepargpadro1"/>
    <w:rPr>
      <w:rFonts w:cs="Times New Roman"/>
      <w:sz w:val="2"/>
    </w:rPr>
  </w:style>
  <w:style w:type="character" w:customStyle="1" w:styleId="HeaderChar">
    <w:name w:val="Header Char"/>
    <w:basedOn w:val="Fontepargpadro1"/>
    <w:rPr>
      <w:rFonts w:cs="Times New Roman"/>
    </w:rPr>
  </w:style>
  <w:style w:type="character" w:customStyle="1" w:styleId="FootnoteTextChar">
    <w:name w:val="Footnote Text Char"/>
    <w:basedOn w:val="Fontepargpadro1"/>
    <w:rPr>
      <w:rFonts w:cs="Times New Roman"/>
    </w:rPr>
  </w:style>
  <w:style w:type="character" w:customStyle="1" w:styleId="Caracteresdenotaderodap">
    <w:name w:val="Caracteres de nota de rodapé"/>
    <w:basedOn w:val="Fontepargpadro1"/>
    <w:rPr>
      <w:rFonts w:cs="Times New Roman"/>
      <w:vertAlign w:val="superscript"/>
    </w:rPr>
  </w:style>
  <w:style w:type="character" w:styleId="Hyperlink">
    <w:name w:val="Hyperlink"/>
    <w:basedOn w:val="Fontepargpadro1"/>
    <w:rPr>
      <w:rFonts w:cs="Times New Roman"/>
      <w:color w:val="0000FF"/>
      <w:u w:val="single"/>
    </w:rPr>
  </w:style>
  <w:style w:type="character" w:styleId="Refdenotaderodap">
    <w:name w:val="footnote reference"/>
    <w:rPr>
      <w:vertAlign w:val="superscript"/>
    </w:rPr>
  </w:style>
  <w:style w:type="character" w:customStyle="1" w:styleId="Caracteresdenotadefim">
    <w:name w:val="Caracteres de nota de fim"/>
    <w:rPr>
      <w:vertAlign w:val="superscript"/>
    </w:rPr>
  </w:style>
  <w:style w:type="character" w:customStyle="1" w:styleId="WW-Caracteresdenotadefim">
    <w:name w:val="WW-Caracteres de nota de fim"/>
  </w:style>
  <w:style w:type="character" w:styleId="Refdenotadefim">
    <w:name w:val="endnote reference"/>
    <w:rPr>
      <w:vertAlign w:val="superscript"/>
    </w:rPr>
  </w:style>
  <w:style w:type="character" w:customStyle="1" w:styleId="Smbolosdenumerao">
    <w:name w:val="Símbolos de numeração"/>
  </w:style>
  <w:style w:type="character" w:styleId="Forte">
    <w:name w:val="Strong"/>
    <w:qFormat/>
    <w:rPr>
      <w:b/>
      <w:bCs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Arial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rFonts w:ascii="Umbrella" w:hAnsi="Umbrella" w:cs="Umbrella"/>
      <w:lang w:val="x-none" w:eastAsia="x-none"/>
    </w:rPr>
  </w:style>
  <w:style w:type="paragraph" w:customStyle="1" w:styleId="Corpodetexto31">
    <w:name w:val="Corpo de texto 31"/>
    <w:basedOn w:val="Normal"/>
    <w:pPr>
      <w:widowControl w:val="0"/>
      <w:spacing w:line="240" w:lineRule="atLeast"/>
    </w:pPr>
    <w:rPr>
      <w:rFonts w:ascii="Book Antiqua" w:hAnsi="Book Antiqua" w:cs="Book Antiqua"/>
      <w:b/>
      <w:sz w:val="22"/>
    </w:rPr>
  </w:style>
  <w:style w:type="paragraph" w:customStyle="1" w:styleId="Blockquote">
    <w:name w:val="Blockquote"/>
    <w:basedOn w:val="Normal"/>
    <w:pPr>
      <w:spacing w:before="100" w:after="100"/>
      <w:ind w:left="360" w:right="360"/>
    </w:pPr>
    <w:rPr>
      <w:sz w:val="24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pPr>
      <w:spacing w:before="280" w:after="280"/>
    </w:pPr>
    <w:rPr>
      <w:rFonts w:ascii="Arial Unicode MS" w:eastAsia="Arial Unicode MS" w:hAnsi="Arial Unicode MS" w:cs="Arial Unicode MS"/>
      <w:sz w:val="24"/>
      <w:szCs w:val="24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Textodenotaderodap">
    <w:name w:val="footnote text"/>
    <w:basedOn w:val="Normal"/>
  </w:style>
  <w:style w:type="paragraph" w:customStyle="1" w:styleId="Contedodoquadro">
    <w:name w:val="Conteúdo do quadro"/>
    <w:basedOn w:val="Normal"/>
  </w:style>
  <w:style w:type="paragraph" w:customStyle="1" w:styleId="Standard">
    <w:name w:val="Standard"/>
    <w:pPr>
      <w:widowControl w:val="0"/>
      <w:suppressAutoHyphens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styleId="PargrafodaLista">
    <w:name w:val="List Paragraph"/>
    <w:basedOn w:val="Normal"/>
    <w:uiPriority w:val="34"/>
    <w:qFormat/>
    <w:rsid w:val="003853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1350</Words>
  <Characters>7296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RECOMENDAÇÃO ADMINISTRATIVA Nº  ____/09</vt:lpstr>
    </vt:vector>
  </TitlesOfParts>
  <Company/>
  <LinksUpToDate>false</LinksUpToDate>
  <CharactersWithSpaces>8629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RECOMENDAÇÃO ADMINISTRATIVA Nº  ____/09</dc:title>
  <dc:subject/>
  <dc:creator>Procuradoria de Justiça</dc:creator>
  <cp:keywords/>
  <cp:lastModifiedBy>marcio</cp:lastModifiedBy>
  <cp:revision>3</cp:revision>
  <cp:lastPrinted>1995-11-21T20:41:00Z</cp:lastPrinted>
  <dcterms:created xsi:type="dcterms:W3CDTF">2020-05-05T19:50:00Z</dcterms:created>
  <dcterms:modified xsi:type="dcterms:W3CDTF">2020-05-05T19:52:00Z</dcterms:modified>
</cp:coreProperties>
</file>