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427E9" w:rsidRDefault="00110AC5" w:rsidP="00110AC5">
      <w:pPr>
        <w:jc w:val="both"/>
        <w:rPr>
          <w:sz w:val="24"/>
          <w:szCs w:val="24"/>
        </w:rPr>
      </w:pPr>
      <w:r w:rsidRPr="00110AC5">
        <w:rPr>
          <w:sz w:val="24"/>
          <w:szCs w:val="24"/>
        </w:rPr>
        <w:t xml:space="preserve">Ref. Procedimento Administrativo nº 01631.000.013/2020 </w:t>
      </w:r>
    </w:p>
    <w:p w:rsidR="00A427E9" w:rsidRDefault="00A427E9" w:rsidP="00110AC5">
      <w:pPr>
        <w:jc w:val="both"/>
        <w:rPr>
          <w:sz w:val="24"/>
          <w:szCs w:val="24"/>
        </w:rPr>
      </w:pPr>
    </w:p>
    <w:p w:rsidR="00A427E9" w:rsidRDefault="00110AC5" w:rsidP="00110AC5">
      <w:pPr>
        <w:jc w:val="both"/>
        <w:rPr>
          <w:sz w:val="24"/>
          <w:szCs w:val="24"/>
        </w:rPr>
      </w:pPr>
      <w:r w:rsidRPr="00110AC5">
        <w:rPr>
          <w:sz w:val="24"/>
          <w:szCs w:val="24"/>
        </w:rPr>
        <w:t>O MINISTÉRIO PÚBLICO DO ESTADO DE PERNAMBUCO, por sua representante signatária em exercício na Promotoria de Justiça de Afrânio, no uso de suas atribuições legais, e, com fulcro nas disposições contidas nos artigos 127 e 129, incisos II e III, da Constituição Federal; artigo 26, incisos I, e artigo 27 e parágrafo</w:t>
      </w:r>
      <w:r w:rsidRPr="00110AC5">
        <w:rPr>
          <w:sz w:val="24"/>
          <w:szCs w:val="24"/>
        </w:rPr>
        <w:t xml:space="preserve"> </w:t>
      </w:r>
      <w:r w:rsidRPr="00110AC5">
        <w:rPr>
          <w:sz w:val="24"/>
          <w:szCs w:val="24"/>
        </w:rPr>
        <w:t xml:space="preserve">único, inciso IV, da Lei Federal de nº 8.625/93; e artigo 53 da Resolução n.º 003/2019 CSMP; </w:t>
      </w:r>
    </w:p>
    <w:p w:rsidR="00A427E9" w:rsidRDefault="00A427E9" w:rsidP="00110AC5">
      <w:pPr>
        <w:jc w:val="both"/>
        <w:rPr>
          <w:sz w:val="24"/>
          <w:szCs w:val="24"/>
        </w:rPr>
      </w:pPr>
    </w:p>
    <w:p w:rsidR="00A427E9" w:rsidRDefault="00110AC5" w:rsidP="00110AC5">
      <w:pPr>
        <w:jc w:val="both"/>
        <w:rPr>
          <w:sz w:val="24"/>
          <w:szCs w:val="24"/>
        </w:rPr>
      </w:pPr>
      <w:r w:rsidRPr="00110AC5">
        <w:rPr>
          <w:sz w:val="24"/>
          <w:szCs w:val="24"/>
        </w:rPr>
        <w:t xml:space="preserve">CONSIDERANDO que, por força da Constituição Federal, no seu Art. 127 e, na condição de instituição permanente, essencial à função jurisdicional do Estado, foi dada ao Ministério Público a incumbência de tutelar os interesses sociais e individuais indisponíveis, em meio aos quais estão os da pessoa idosa e pessoa com deficiência; </w:t>
      </w:r>
    </w:p>
    <w:p w:rsidR="00A427E9" w:rsidRDefault="00110AC5" w:rsidP="00110AC5">
      <w:pPr>
        <w:jc w:val="both"/>
        <w:rPr>
          <w:sz w:val="24"/>
          <w:szCs w:val="24"/>
        </w:rPr>
      </w:pPr>
      <w:r w:rsidRPr="00110AC5">
        <w:rPr>
          <w:sz w:val="24"/>
          <w:szCs w:val="24"/>
        </w:rPr>
        <w:t xml:space="preserve">CONSIDERANDO que se depreende do Art. 227, II, da Constituição Federal, como sendo dever da família, da sociedade e do Estado, a " ...facilitação do acesso aos bens e serviços coletivos, com a eliminação de preconceitos e obstáculos arquitetônicos"; </w:t>
      </w:r>
    </w:p>
    <w:p w:rsidR="00A427E9" w:rsidRDefault="00110AC5" w:rsidP="00110AC5">
      <w:pPr>
        <w:jc w:val="both"/>
        <w:rPr>
          <w:sz w:val="24"/>
          <w:szCs w:val="24"/>
        </w:rPr>
      </w:pPr>
      <w:r w:rsidRPr="00110AC5">
        <w:rPr>
          <w:sz w:val="24"/>
          <w:szCs w:val="24"/>
        </w:rPr>
        <w:t xml:space="preserve">CONSIDERANDO o preceituado no Art. 8o, da Lei n. 13.146/2015, quando determina que o Estado, a sociedade e a família assegurem os direitos da pessoa com deficiência, com prioridade, dentre os quais, o acesso à previdência </w:t>
      </w:r>
      <w:proofErr w:type="gramStart"/>
      <w:r w:rsidRPr="00110AC5">
        <w:rPr>
          <w:sz w:val="24"/>
          <w:szCs w:val="24"/>
        </w:rPr>
        <w:t>social....;</w:t>
      </w:r>
      <w:proofErr w:type="gramEnd"/>
      <w:r w:rsidRPr="00110AC5">
        <w:rPr>
          <w:sz w:val="24"/>
          <w:szCs w:val="24"/>
        </w:rPr>
        <w:t xml:space="preserve"> e bem assim, no Parágrafo Primeiro do mesmo Art. 8o, que o direito acima elencado é extensivo ao acompanhante da pessoa com deficiência, pela razão óbvia de não sacrificar o seu bem estar; </w:t>
      </w:r>
    </w:p>
    <w:p w:rsidR="00A427E9" w:rsidRDefault="00110AC5" w:rsidP="00110AC5">
      <w:pPr>
        <w:jc w:val="both"/>
        <w:rPr>
          <w:sz w:val="24"/>
          <w:szCs w:val="24"/>
        </w:rPr>
      </w:pPr>
      <w:r w:rsidRPr="00110AC5">
        <w:rPr>
          <w:sz w:val="24"/>
          <w:szCs w:val="24"/>
        </w:rPr>
        <w:t xml:space="preserve">CONSIDERANDO que, seguindo o rastro dos preceitos garantidos pela Carta Magna, o Estatuto do Idoso reiterou como sendo obrigação solidária e compartilhada da família, da comunidade, da sociedade e do Poder Público " assegurar ao idoso, com absoluta prioridade, a efetivação, dentre outros, do direito à vida, à saúde, à alimentação, à cidadania, à liberdade, à dignidade, ao respeito e à convivência familiar e comunitária"; </w:t>
      </w:r>
    </w:p>
    <w:p w:rsidR="00A427E9" w:rsidRDefault="00110AC5" w:rsidP="00110AC5">
      <w:pPr>
        <w:jc w:val="both"/>
        <w:rPr>
          <w:sz w:val="24"/>
          <w:szCs w:val="24"/>
        </w:rPr>
      </w:pPr>
      <w:r w:rsidRPr="00110AC5">
        <w:rPr>
          <w:sz w:val="24"/>
          <w:szCs w:val="24"/>
        </w:rPr>
        <w:t xml:space="preserve">CONSIDERANDO ser a saúde um direito de todos e dever do Estado, garantido mediante políticas sociais e econômicas que visem a redução do risco de doença e gravames outros, bem como o acesso universal e igualitário às ações e serviços para sua promoção, proteção e recuperação (art. 196, da CF); </w:t>
      </w:r>
    </w:p>
    <w:p w:rsidR="00A427E9" w:rsidRDefault="00110AC5" w:rsidP="00110AC5">
      <w:pPr>
        <w:jc w:val="both"/>
        <w:rPr>
          <w:sz w:val="24"/>
          <w:szCs w:val="24"/>
        </w:rPr>
      </w:pPr>
      <w:r w:rsidRPr="00110AC5">
        <w:rPr>
          <w:sz w:val="24"/>
          <w:szCs w:val="24"/>
        </w:rPr>
        <w:t xml:space="preserve">CONSIDERANDO a notícia divulgada pela Organização Mundial de Saúde (OMS), no último dia 11 de março, declarando que o novo vírus denominado </w:t>
      </w:r>
      <w:proofErr w:type="spellStart"/>
      <w:r w:rsidRPr="00110AC5">
        <w:rPr>
          <w:sz w:val="24"/>
          <w:szCs w:val="24"/>
        </w:rPr>
        <w:t>Coronavírus</w:t>
      </w:r>
      <w:proofErr w:type="spellEnd"/>
      <w:r w:rsidRPr="00110AC5">
        <w:rPr>
          <w:sz w:val="24"/>
          <w:szCs w:val="24"/>
        </w:rPr>
        <w:t xml:space="preserve"> – COVID-19 evoluiu para pandemia, e que, além disso, o Diário de Pernambuco já divulgou que o vírus já se disseminou no sertão Pernambucano com casos em </w:t>
      </w:r>
      <w:proofErr w:type="spellStart"/>
      <w:r w:rsidRPr="00110AC5">
        <w:rPr>
          <w:sz w:val="24"/>
          <w:szCs w:val="24"/>
        </w:rPr>
        <w:t>Orocó</w:t>
      </w:r>
      <w:proofErr w:type="spellEnd"/>
      <w:r w:rsidRPr="00110AC5">
        <w:rPr>
          <w:sz w:val="24"/>
          <w:szCs w:val="24"/>
        </w:rPr>
        <w:t xml:space="preserve">, Parnamirim, Salgueiro, Ipubi, Ouricuri, Betânia, Trindade, estando a população idosa na faixa de maior risco e vulnerabilidade; </w:t>
      </w:r>
    </w:p>
    <w:p w:rsidR="00A427E9" w:rsidRDefault="00110AC5" w:rsidP="00110AC5">
      <w:pPr>
        <w:jc w:val="both"/>
        <w:rPr>
          <w:sz w:val="24"/>
          <w:szCs w:val="24"/>
        </w:rPr>
      </w:pPr>
      <w:r w:rsidRPr="00110AC5">
        <w:rPr>
          <w:sz w:val="24"/>
          <w:szCs w:val="24"/>
        </w:rPr>
        <w:t xml:space="preserve">CONSIDERANDO o disposto nos </w:t>
      </w:r>
      <w:proofErr w:type="spellStart"/>
      <w:r w:rsidRPr="00110AC5">
        <w:rPr>
          <w:sz w:val="24"/>
          <w:szCs w:val="24"/>
        </w:rPr>
        <w:t>Arts</w:t>
      </w:r>
      <w:proofErr w:type="spellEnd"/>
      <w:r w:rsidRPr="00110AC5">
        <w:rPr>
          <w:sz w:val="24"/>
          <w:szCs w:val="24"/>
        </w:rPr>
        <w:t xml:space="preserve"> 62 e 63, do Código Estadual de Defesa do Consumidor ( Lei N. 16.559/2019), especialmente, no segundo, quando, após atribuir às instituições bancárias, financeiras e creditícias, às operadoras de cartão de crédito ou débito e aos estabelecimentos similares a fiel observância no tempo de espera em suas respectivas filas, que será de " até 15 (quinze) minutos, em dias normais de atendimento; e, até 30 (trinta) minutos, nos 5 (cinco) </w:t>
      </w:r>
      <w:r w:rsidRPr="00110AC5">
        <w:rPr>
          <w:sz w:val="24"/>
          <w:szCs w:val="24"/>
        </w:rPr>
        <w:lastRenderedPageBreak/>
        <w:t xml:space="preserve">primeiros dias úteis de cada mês ou em véspera ou dia imediatamente seguinte a feriados", não se prescindindo do registro do horário de entrada na instituição, seja mecânica ou eletronicamente; CONSIDERANDO o calendário de pagamento de benefícios do ano de 2020, a data em que, no Estado de Pernambuco, aproximadamente, 312. 454 (Trezentos e doze mil, quatrocentos e cinquenta e quatro) beneficiários(as) do INSS recorrerão aos bancos e postos para sacar seus benefícios e valores, quando toda cautela de prevenção se faz imprescindível ao longo desse período, o que enseja uma prévia organização da logística, sob pena de se viabilizar o caos pandêmico, no tocante ao contágio e à exposição da camada populacional mais frágil e vulnerável; CONSIDERANDO que, a despeito de se ter como determinação do Ministério da Saúde, autoridades sanitárias e todos os demais agentes do processo de controle do COVID-19, em suas esferas federal, estadual e municipal, o aconselhamento pelo isolamento social, inevitável será, no entanto, que IDOSOS e PESSOAS COM DEFICIÊNCIA se unam a toda a população beneficiária do INSS para receber seus valores, de maneira que urge a adoção de preventivas medidas que visem o menor tempo de exposição e convívio social, sob a égide da melhor estrutura possível; CONSIDERANDO que chegou ao conhecimento deste órgão ministerial, através de informações prestadas pela Polícia Civil e Militar atuante no Município de Dormentes (Lotéricas Cavalcante), neste período de combate à disseminação do novo Corona </w:t>
      </w:r>
      <w:proofErr w:type="spellStart"/>
      <w:r w:rsidRPr="00110AC5">
        <w:rPr>
          <w:sz w:val="24"/>
          <w:szCs w:val="24"/>
        </w:rPr>
        <w:t>Virus</w:t>
      </w:r>
      <w:proofErr w:type="spellEnd"/>
      <w:r w:rsidRPr="00110AC5">
        <w:rPr>
          <w:sz w:val="24"/>
          <w:szCs w:val="24"/>
        </w:rPr>
        <w:t xml:space="preserve">, que os munícipes estão se aglomerando na frente das lotéricas, para terem acesso aos seus serviços, dentre eles recebimento de benefícios previdenciários e concedidos pelo Governo Federal em decorrência da pandemia do Covid-19 (voucher no valor de R$ 600,00), bem como pagamentos e recebimentos diversos. CONSIDERANDO que compete ao Ministério Público Estadual expedir recomendações, visando à melhoria dos serviços públicos e de relevância pública, bem como ao respeito aos interesses, direitos e bens cuja defesa lhe cabe promover, fixando prazo razoável para a adoção das providências cabíveis (art. 27.º, par. único, inc. IV, da Lei Federal 8.625/93); </w:t>
      </w:r>
      <w:proofErr w:type="gramStart"/>
      <w:r w:rsidRPr="00110AC5">
        <w:rPr>
          <w:sz w:val="24"/>
          <w:szCs w:val="24"/>
        </w:rPr>
        <w:t>RESOLVE :</w:t>
      </w:r>
      <w:proofErr w:type="gramEnd"/>
      <w:r w:rsidRPr="00110AC5">
        <w:rPr>
          <w:sz w:val="24"/>
          <w:szCs w:val="24"/>
        </w:rPr>
        <w:t xml:space="preserve"> </w:t>
      </w:r>
    </w:p>
    <w:p w:rsidR="00A427E9" w:rsidRDefault="00A427E9" w:rsidP="00110AC5">
      <w:pPr>
        <w:jc w:val="both"/>
        <w:rPr>
          <w:sz w:val="24"/>
          <w:szCs w:val="24"/>
        </w:rPr>
      </w:pPr>
    </w:p>
    <w:p w:rsidR="00A427E9" w:rsidRDefault="00110AC5" w:rsidP="00110AC5">
      <w:pPr>
        <w:jc w:val="both"/>
        <w:rPr>
          <w:sz w:val="24"/>
          <w:szCs w:val="24"/>
        </w:rPr>
      </w:pPr>
      <w:r w:rsidRPr="00110AC5">
        <w:rPr>
          <w:sz w:val="24"/>
          <w:szCs w:val="24"/>
        </w:rPr>
        <w:t xml:space="preserve">RECOMENDAR a Excelentíssima Prefeita do Município de Dormentes/PE, Sra. </w:t>
      </w:r>
      <w:proofErr w:type="spellStart"/>
      <w:r w:rsidRPr="00110AC5">
        <w:rPr>
          <w:sz w:val="24"/>
          <w:szCs w:val="24"/>
        </w:rPr>
        <w:t>Josimara</w:t>
      </w:r>
      <w:proofErr w:type="spellEnd"/>
      <w:r w:rsidRPr="00110AC5">
        <w:rPr>
          <w:sz w:val="24"/>
          <w:szCs w:val="24"/>
        </w:rPr>
        <w:t xml:space="preserve"> Cavalcanti e para os representantes legais de todas as agências bancárias, postos de pagamentos e lotéricas, bem como todos os estabelecimentos conveniados ao INSS, que, com a antecedência que o caso impõe, providenciem, de acordo com as vigentes normas de saúde e vigilância sanitária, sobretudo no tocante a impedir aglomeração de qualquer natureza, sob pena de eventual responsabilidade cível e criminal, por negligência, que: </w:t>
      </w:r>
    </w:p>
    <w:p w:rsidR="00A427E9" w:rsidRDefault="00A427E9" w:rsidP="00110AC5">
      <w:pPr>
        <w:jc w:val="both"/>
        <w:rPr>
          <w:sz w:val="24"/>
          <w:szCs w:val="24"/>
        </w:rPr>
      </w:pPr>
    </w:p>
    <w:p w:rsidR="00A427E9" w:rsidRDefault="00110AC5" w:rsidP="00110AC5">
      <w:pPr>
        <w:jc w:val="both"/>
        <w:rPr>
          <w:sz w:val="24"/>
          <w:szCs w:val="24"/>
        </w:rPr>
      </w:pPr>
      <w:r w:rsidRPr="00110AC5">
        <w:rPr>
          <w:sz w:val="24"/>
          <w:szCs w:val="24"/>
        </w:rPr>
        <w:t xml:space="preserve">1- Promova o Município: ampla divulgação das informações sobre as regras de acesso, higiene, distância pessoal e cuidados de prevenção nos dias de comparecimento às agências pagadoras, bem como os horários e critérios de funcionamento, articulando para que a divulgação se dê por carro de som, rádio, sites dos bancos e demais canais informativos, cartazes no estabelecimento e locais de maior visibilidade da população em geral; </w:t>
      </w:r>
    </w:p>
    <w:p w:rsidR="00A427E9" w:rsidRDefault="00110AC5" w:rsidP="00110AC5">
      <w:pPr>
        <w:jc w:val="both"/>
        <w:rPr>
          <w:sz w:val="24"/>
          <w:szCs w:val="24"/>
        </w:rPr>
      </w:pPr>
      <w:r w:rsidRPr="00110AC5">
        <w:rPr>
          <w:sz w:val="24"/>
          <w:szCs w:val="24"/>
        </w:rPr>
        <w:t xml:space="preserve">2– Que todas as agências bancárias, postos de pagamentos e lotéricas, bem como todos os estabelecimentos conveniados ao INSS empreendam de modo proativo, implementando, sempre </w:t>
      </w:r>
      <w:r w:rsidRPr="00110AC5">
        <w:rPr>
          <w:sz w:val="24"/>
          <w:szCs w:val="24"/>
        </w:rPr>
        <w:lastRenderedPageBreak/>
        <w:t xml:space="preserve">que possível, um aumento no quadro de pessoal em cada agência, posto ou terminal de atendimento bancário, para dirimir, através do diálogo, eventual conflito; </w:t>
      </w:r>
    </w:p>
    <w:p w:rsidR="00A427E9" w:rsidRDefault="00110AC5" w:rsidP="00110AC5">
      <w:pPr>
        <w:jc w:val="both"/>
        <w:rPr>
          <w:sz w:val="24"/>
          <w:szCs w:val="24"/>
        </w:rPr>
      </w:pPr>
      <w:r w:rsidRPr="00110AC5">
        <w:rPr>
          <w:sz w:val="24"/>
          <w:szCs w:val="24"/>
        </w:rPr>
        <w:t>3– Que os gerentes de cada agência bancária, lotérica ou posto de atendimento, com a antecedência que o caso impõe: 3.1- Procedam à abertura da agência, posto ou lotérica em horário especial e extraordinário, em razão das próprias circunstâncias, de maneira que 2 ( duas ) horas antes do atendimento normal e cotidiano, os serviços sejam prestados, com exclusividade, para idosos e pessoas com deficiência; 3.2- Providenciem, além do cordão de isolamento da(s) fila(a), pintura ou risco do X ou I ou O, no chão, em cor visível e forte, com material lavável, assegurando a distância mínima de 1 ( um ) metro entre um(a) usuário(a) e o(a) outro(a), com rígida fiscalização; 3.3- Mantenham, na parte externa da agência, posto ou lotérica, um(a) atendente, que dialogue e conscientize que, naquele dia, o atendimento prioritário será para saque, agendando, sempre que possível ou instalando os "</w:t>
      </w:r>
      <w:proofErr w:type="spellStart"/>
      <w:r w:rsidRPr="00110AC5">
        <w:rPr>
          <w:sz w:val="24"/>
          <w:szCs w:val="24"/>
        </w:rPr>
        <w:t>apps</w:t>
      </w:r>
      <w:proofErr w:type="spellEnd"/>
      <w:r w:rsidRPr="00110AC5">
        <w:rPr>
          <w:sz w:val="24"/>
          <w:szCs w:val="24"/>
        </w:rPr>
        <w:t>" nos respectivos aparelhos celulares de quem os tiver e desejar, para que outros serviços sejam prestados e utilizados, virtualmente; 3.4- Providenciem a entrega de senhas tão logo a fila se forme e, desde logo, ressalte que, a depender do tamanho da agência ou posto, dê-se o acesso a uma pessoa de cada vez, de maneira que, no interior, também seja mantida a distância mínima presencial de 1(um) metro entre as mesmas, nada impedindo que, respeitada a distância, adentre o número que for possível, observada a margem prudencial de afastamento e segurança; 3.5- Entreguem as senhas, informando que, nos locais de um ou dois terminais de atendimento ou que existam duas atendentes, ofereça-se nesses dias e horários comuns, preferencialmente, a operação de saque (analisado caso a caso, a urgência e necessidade). A partir de três terminais ou atendentes, apenas um destes(as), ficará disponível para todos os serviços (pagamento de contas de consumo, boletos</w:t>
      </w:r>
      <w:r w:rsidRPr="00110AC5">
        <w:rPr>
          <w:sz w:val="24"/>
          <w:szCs w:val="24"/>
        </w:rPr>
        <w:t xml:space="preserve"> </w:t>
      </w:r>
      <w:r w:rsidRPr="00110AC5">
        <w:rPr>
          <w:sz w:val="24"/>
          <w:szCs w:val="24"/>
        </w:rPr>
        <w:t xml:space="preserve">bancários, depósitos, transferências, aplicações e demais operações ou serviços), de maneira a evitar, o máximo quanto possível, aglomerações, delongas e, principalmente, contágio; 3.6- Providenciem, com antecedência, a logística e solução para, caso alguém na fila apresente alguma indisposição ou sintomas do COVID19, que a agência bancária, posto, lotérica ou correlato chame, imediatamente, o SAMU ou ambulância, sem prejuízo da autoridade sanitária local, para que se proceda ao atendimento rápido e em local adequado, com o devido acompanhamento; 3.7- Oficiar ao Poder Público solicitando disponibilização de agende municipal em cada agência, posto ou lotérica, para assegurar a ordem e o distanciamento nas filas, sem prejuízo de deixar a polícia militar de sobreaviso para eventual necessidade; 3.8- Observar para que ninguém, que não esteja com o(a) idoso(a) ou deficiente, possa acessar a agência junto a estes(as), ainda que a pretexto de ajudá-los(as), ou seja, indagando sempre se o(a) idoso(a) ou Deficiente estão ou não acompanhados daquela pessoa, evitando apropriações indébitas, furtos, clonagens ou acesso à senha; 3.9- Checar, minuciosamente, em caso de bloqueio de senha, por excesso </w:t>
      </w:r>
      <w:proofErr w:type="spellStart"/>
      <w:r w:rsidRPr="00110AC5">
        <w:rPr>
          <w:sz w:val="24"/>
          <w:szCs w:val="24"/>
        </w:rPr>
        <w:t>detentativas</w:t>
      </w:r>
      <w:proofErr w:type="spellEnd"/>
      <w:r w:rsidRPr="00110AC5">
        <w:rPr>
          <w:sz w:val="24"/>
          <w:szCs w:val="24"/>
        </w:rPr>
        <w:t xml:space="preserve">, se o(a) beneficiário(a) é mesmo o(a) idoso(a) ou o(a) deficiente, caso contrário, entrar em contato com o interessado, titular do cartão, caso não o seja, para saber sobre a legitimidade do portador ou representante; 4. - Recomendar à rede de apoio, qual seja a Secretaria de Ação Social, CREAS, CRAS e respectivos Conselhos do Idoso e da Pessoa com Deficiência, que conscientizem e estimulem para que façam </w:t>
      </w:r>
      <w:r w:rsidRPr="00110AC5">
        <w:rPr>
          <w:sz w:val="24"/>
          <w:szCs w:val="24"/>
        </w:rPr>
        <w:lastRenderedPageBreak/>
        <w:t xml:space="preserve">procurações, preferencialmente, públicas, evitando, assim, a exposição pessoal e física, ante a vigência desta pandemia comunitária. </w:t>
      </w:r>
    </w:p>
    <w:p w:rsidR="00A427E9" w:rsidRDefault="00110AC5" w:rsidP="00110AC5">
      <w:pPr>
        <w:jc w:val="both"/>
        <w:rPr>
          <w:sz w:val="24"/>
          <w:szCs w:val="24"/>
        </w:rPr>
      </w:pPr>
      <w:r w:rsidRPr="00110AC5">
        <w:rPr>
          <w:sz w:val="24"/>
          <w:szCs w:val="24"/>
        </w:rPr>
        <w:t xml:space="preserve">5- A partir da data da entrega da presente recomendação, o MINISTÉRIO PÚBLICO DO ESTADO DE PERNAMBUCO considera seus destinatários como pessoalmente cientes da situação ora exposta e, nesses termos, passível de responsabilização por quaisquer eventos futuros imputáveis a sua omissão quanto às providências solicitadas. Cabe, portanto, advertir que a inobservância da Recomendação Ministerial serve para fins de fixação de dolo em futuro e eventual manejo de ações judiciais de improbidade administrativa por omissão, previsto em Lei Federal. </w:t>
      </w:r>
    </w:p>
    <w:p w:rsidR="00A427E9" w:rsidRDefault="00110AC5" w:rsidP="00110AC5">
      <w:pPr>
        <w:jc w:val="both"/>
        <w:rPr>
          <w:sz w:val="24"/>
          <w:szCs w:val="24"/>
        </w:rPr>
      </w:pPr>
      <w:r w:rsidRPr="00110AC5">
        <w:rPr>
          <w:sz w:val="24"/>
          <w:szCs w:val="24"/>
        </w:rPr>
        <w:t xml:space="preserve">6- Faz-se impositivo constar que a presente recomendação não esgota a atuação do MINISTÉRIO PÚBLICO DO ESTADO DE PERNAMBUCO sobre o tema, não excluindo futuras recomendações ou outras iniciativas com relação aos agentes supramencionados. </w:t>
      </w:r>
    </w:p>
    <w:p w:rsidR="00A427E9" w:rsidRDefault="00110AC5" w:rsidP="00110AC5">
      <w:pPr>
        <w:jc w:val="both"/>
        <w:rPr>
          <w:sz w:val="24"/>
          <w:szCs w:val="24"/>
        </w:rPr>
      </w:pPr>
      <w:r w:rsidRPr="00110AC5">
        <w:rPr>
          <w:sz w:val="24"/>
          <w:szCs w:val="24"/>
        </w:rPr>
        <w:t xml:space="preserve">7- Registre-se que, não obstante a não obrigatoriedade do seu atendimento, a possível conduta indevida sujeita-se, por sua vez, a correção de natureza jurisdicional, seja da pessoa jurídica e/ou física responsável, om repercussões civis (inclusive </w:t>
      </w:r>
      <w:proofErr w:type="spellStart"/>
      <w:r w:rsidRPr="00110AC5">
        <w:rPr>
          <w:sz w:val="24"/>
          <w:szCs w:val="24"/>
        </w:rPr>
        <w:t>ressarcitórias</w:t>
      </w:r>
      <w:proofErr w:type="spellEnd"/>
      <w:r w:rsidRPr="00110AC5">
        <w:rPr>
          <w:sz w:val="24"/>
          <w:szCs w:val="24"/>
        </w:rPr>
        <w:t xml:space="preserve">), administrativas (improbidade) e/ou penal. </w:t>
      </w:r>
    </w:p>
    <w:p w:rsidR="00A427E9" w:rsidRDefault="00110AC5" w:rsidP="00110AC5">
      <w:pPr>
        <w:jc w:val="both"/>
        <w:rPr>
          <w:sz w:val="24"/>
          <w:szCs w:val="24"/>
        </w:rPr>
      </w:pPr>
      <w:r w:rsidRPr="00110AC5">
        <w:rPr>
          <w:sz w:val="24"/>
          <w:szCs w:val="24"/>
        </w:rPr>
        <w:t xml:space="preserve">8- Requisita-se, com fundamento no artigo 58 da Resolução n.º 003/2019 CSMP, que os destinatários desta Recomendação informem, em 72 horas, se acatarão ou não </w:t>
      </w:r>
      <w:proofErr w:type="spellStart"/>
      <w:r w:rsidRPr="00110AC5">
        <w:rPr>
          <w:sz w:val="24"/>
          <w:szCs w:val="24"/>
        </w:rPr>
        <w:t>esta</w:t>
      </w:r>
      <w:proofErr w:type="spellEnd"/>
      <w:r w:rsidRPr="00110AC5">
        <w:rPr>
          <w:sz w:val="24"/>
          <w:szCs w:val="24"/>
        </w:rPr>
        <w:t xml:space="preserve"> Recomendação, apresentando, em hipótese negativa, os respectivos fundamentos. </w:t>
      </w:r>
    </w:p>
    <w:p w:rsidR="00A427E9" w:rsidRDefault="00110AC5" w:rsidP="00110AC5">
      <w:pPr>
        <w:jc w:val="both"/>
        <w:rPr>
          <w:sz w:val="24"/>
          <w:szCs w:val="24"/>
        </w:rPr>
      </w:pPr>
      <w:r w:rsidRPr="00110AC5">
        <w:rPr>
          <w:sz w:val="24"/>
          <w:szCs w:val="24"/>
        </w:rPr>
        <w:t xml:space="preserve">9– Encaminhe-se cópia </w:t>
      </w:r>
      <w:proofErr w:type="gramStart"/>
      <w:r w:rsidRPr="00110AC5">
        <w:rPr>
          <w:sz w:val="24"/>
          <w:szCs w:val="24"/>
        </w:rPr>
        <w:t>da presente</w:t>
      </w:r>
      <w:proofErr w:type="gramEnd"/>
      <w:r w:rsidRPr="00110AC5">
        <w:rPr>
          <w:sz w:val="24"/>
          <w:szCs w:val="24"/>
        </w:rPr>
        <w:t xml:space="preserve"> ao Comandante da Polícia Militar a fim de que tome conhecimento dos fatos e fundamentos jurídicos aqui expostos e adotem as providências cabíveis dentro da sua esfera de atribuição, no sentido de exigir e fiscalizar o adequado cumprimento das medidas recomendadas. </w:t>
      </w:r>
    </w:p>
    <w:p w:rsidR="00A427E9" w:rsidRDefault="00110AC5" w:rsidP="00110AC5">
      <w:pPr>
        <w:jc w:val="both"/>
        <w:rPr>
          <w:sz w:val="24"/>
          <w:szCs w:val="24"/>
        </w:rPr>
      </w:pPr>
      <w:r w:rsidRPr="00110AC5">
        <w:rPr>
          <w:sz w:val="24"/>
          <w:szCs w:val="24"/>
        </w:rPr>
        <w:t xml:space="preserve">10– Comunique-se a expedição desta Recomendação à Prefeita do Município de Dormentes-PE e ao proprietário da Lotérica Cavalcante; </w:t>
      </w:r>
    </w:p>
    <w:p w:rsidR="004A20DA" w:rsidRPr="00110AC5" w:rsidRDefault="00110AC5" w:rsidP="00110AC5">
      <w:pPr>
        <w:jc w:val="both"/>
        <w:rPr>
          <w:sz w:val="24"/>
          <w:szCs w:val="24"/>
        </w:rPr>
      </w:pPr>
      <w:bookmarkStart w:id="0" w:name="_GoBack"/>
      <w:bookmarkEnd w:id="0"/>
      <w:r w:rsidRPr="00110AC5">
        <w:rPr>
          <w:sz w:val="24"/>
          <w:szCs w:val="24"/>
        </w:rPr>
        <w:t xml:space="preserve">11- Comunique-se a expedição dessa Recomendação ao Centro de Apoio Operacional de Defesa da Cidadania e do Consumidor, e encaminhe-se a Secretária Geral para publicação no Diário Oficial. Afrânio/PE, 22 de </w:t>
      </w:r>
      <w:proofErr w:type="gramStart"/>
      <w:r w:rsidRPr="00110AC5">
        <w:rPr>
          <w:sz w:val="24"/>
          <w:szCs w:val="24"/>
        </w:rPr>
        <w:t>Abril</w:t>
      </w:r>
      <w:proofErr w:type="gramEnd"/>
      <w:r w:rsidRPr="00110AC5">
        <w:rPr>
          <w:sz w:val="24"/>
          <w:szCs w:val="24"/>
        </w:rPr>
        <w:t xml:space="preserve"> de 2020. CLARISSA DANTAS BASTOS Promotora de Justiça CLARISSA DANTAS BASTOS Promotor de Justiça de Afrânio</w:t>
      </w:r>
    </w:p>
    <w:sectPr w:rsidR="004A20DA" w:rsidRPr="00110AC5">
      <w:headerReference w:type="default" r:id="rId7"/>
      <w:footerReference w:type="default" r:id="rId8"/>
      <w:pgSz w:w="11906" w:h="16838"/>
      <w:pgMar w:top="3653" w:right="850" w:bottom="2154" w:left="1701" w:header="1417" w:footer="14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6E7" w:rsidRDefault="006D06E7">
      <w:r>
        <w:separator/>
      </w:r>
    </w:p>
  </w:endnote>
  <w:endnote w:type="continuationSeparator" w:id="0">
    <w:p w:rsidR="006D06E7" w:rsidRDefault="006D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Umbrella">
    <w:altName w:val="Calibri"/>
    <w:charset w:val="00"/>
    <w:family w:val="swiss"/>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454" w:rsidRDefault="00503454">
    <w:pPr>
      <w:pStyle w:val="Corpodetexto"/>
      <w:jc w:val="both"/>
      <w:rPr>
        <w:rFonts w:ascii="Verdana" w:hAnsi="Verdana"/>
        <w:color w:val="000000"/>
        <w:sz w:val="16"/>
        <w:szCs w:val="16"/>
      </w:rPr>
    </w:pPr>
  </w:p>
  <w:p w:rsidR="00503454" w:rsidRDefault="00503454">
    <w:pPr>
      <w:pStyle w:val="Corpodetexto"/>
      <w:jc w:val="both"/>
      <w:rPr>
        <w:rFonts w:ascii="Verdana" w:hAnsi="Verdana"/>
        <w:color w:val="000000"/>
        <w:sz w:val="16"/>
        <w:szCs w:val="16"/>
      </w:rPr>
    </w:pPr>
  </w:p>
  <w:p w:rsidR="00503454" w:rsidRDefault="005034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6E7" w:rsidRDefault="006D06E7">
      <w:r>
        <w:separator/>
      </w:r>
    </w:p>
  </w:footnote>
  <w:footnote w:type="continuationSeparator" w:id="0">
    <w:p w:rsidR="006D06E7" w:rsidRDefault="006D0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454" w:rsidRDefault="00E85A33">
    <w:pPr>
      <w:pStyle w:val="Cabealho"/>
      <w:jc w:val="center"/>
    </w:pPr>
    <w:r>
      <w:rPr>
        <w:noProof/>
        <w:lang w:eastAsia="pt-BR"/>
      </w:rPr>
      <w:drawing>
        <wp:anchor distT="0" distB="0" distL="0" distR="0" simplePos="0" relativeHeight="251657728" behindDoc="0" locked="0" layoutInCell="1" allowOverlap="1">
          <wp:simplePos x="0" y="0"/>
          <wp:positionH relativeFrom="column">
            <wp:posOffset>1837055</wp:posOffset>
          </wp:positionH>
          <wp:positionV relativeFrom="paragraph">
            <wp:posOffset>-144145</wp:posOffset>
          </wp:positionV>
          <wp:extent cx="2092960" cy="949325"/>
          <wp:effectExtent l="0" t="0" r="0" b="0"/>
          <wp:wrapSquare wrapText="largest"/>
          <wp:docPr id="4"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993" t="-1768" r="-993" b="-1768"/>
                  <a:stretch>
                    <a:fillRect/>
                  </a:stretch>
                </pic:blipFill>
                <pic:spPr bwMode="auto">
                  <a:xfrm>
                    <a:off x="0" y="0"/>
                    <a:ext cx="2092960" cy="9493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503454" w:rsidRDefault="00503454">
    <w:pPr>
      <w:pStyle w:val="Cabealho"/>
      <w:jc w:val="center"/>
    </w:pPr>
  </w:p>
  <w:p w:rsidR="00503454" w:rsidRDefault="00503454">
    <w:pPr>
      <w:pStyle w:val="Cabealho"/>
      <w:jc w:val="center"/>
    </w:pPr>
  </w:p>
  <w:p w:rsidR="00503454" w:rsidRDefault="00503454">
    <w:pPr>
      <w:pStyle w:val="Cabealho"/>
      <w:jc w:val="center"/>
    </w:pPr>
  </w:p>
  <w:p w:rsidR="00503454" w:rsidRDefault="00503454">
    <w:pPr>
      <w:pStyle w:val="Cabealho"/>
      <w:jc w:val="center"/>
    </w:pPr>
  </w:p>
  <w:p w:rsidR="00503454" w:rsidRPr="00E85A33" w:rsidRDefault="00503454">
    <w:pPr>
      <w:pStyle w:val="Cabealho"/>
      <w:jc w:val="center"/>
      <w:rPr>
        <w:rFonts w:ascii="Tahoma" w:eastAsia="Tahoma" w:hAnsi="Tahoma" w:cs="Tahoma"/>
        <w:b/>
        <w:bCs/>
        <w:sz w:val="22"/>
        <w:szCs w:val="22"/>
        <w14:shadow w14:blurRad="50800" w14:dist="38100" w14:dir="2700000" w14:sx="100000" w14:sy="100000" w14:kx="0" w14:ky="0" w14:algn="tl">
          <w14:srgbClr w14:val="000000">
            <w14:alpha w14:val="60000"/>
          </w14:srgbClr>
        </w14:shadow>
      </w:rPr>
    </w:pPr>
  </w:p>
  <w:p w:rsidR="00503454" w:rsidRPr="0046761E" w:rsidRDefault="0046761E" w:rsidP="0046761E">
    <w:pPr>
      <w:jc w:val="center"/>
      <w:rPr>
        <w:rFonts w:ascii="Tahoma" w:eastAsia="Tahoma" w:hAnsi="Tahoma" w:cs="Tahoma"/>
        <w:b/>
        <w:sz w:val="24"/>
        <w:szCs w:val="24"/>
      </w:rPr>
    </w:pPr>
    <w:r w:rsidRPr="0046761E">
      <w:rPr>
        <w:b/>
        <w:sz w:val="24"/>
        <w:szCs w:val="24"/>
      </w:rPr>
      <w:t xml:space="preserve">PROMOTORIA DE JUSTIÇA DE </w:t>
    </w:r>
    <w:r w:rsidR="00110AC5">
      <w:rPr>
        <w:b/>
        <w:sz w:val="24"/>
        <w:szCs w:val="24"/>
      </w:rPr>
      <w:t>LAGOA GRANDE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ascii="Verdana" w:hAnsi="Verdana" w:cs="Verdana"/>
        <w:sz w:val="24"/>
        <w:szCs w:val="24"/>
        <w:lang w:val="pt-BR" w:eastAsia="zh-CN" w:bidi="ar-SA"/>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57C4468C"/>
    <w:multiLevelType w:val="hybridMultilevel"/>
    <w:tmpl w:val="BAC22E72"/>
    <w:lvl w:ilvl="0" w:tplc="DFD206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pt-BR"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33"/>
    <w:rsid w:val="0000158C"/>
    <w:rsid w:val="000869AC"/>
    <w:rsid w:val="000B21EC"/>
    <w:rsid w:val="000C0E62"/>
    <w:rsid w:val="000D242A"/>
    <w:rsid w:val="00102B20"/>
    <w:rsid w:val="00110AC5"/>
    <w:rsid w:val="00187F4C"/>
    <w:rsid w:val="001A0003"/>
    <w:rsid w:val="001A6433"/>
    <w:rsid w:val="001C52FC"/>
    <w:rsid w:val="001E7ACC"/>
    <w:rsid w:val="0026722D"/>
    <w:rsid w:val="002B3E56"/>
    <w:rsid w:val="002E59EA"/>
    <w:rsid w:val="0030367D"/>
    <w:rsid w:val="00354D0C"/>
    <w:rsid w:val="003C0EDA"/>
    <w:rsid w:val="003E0DB7"/>
    <w:rsid w:val="003E7369"/>
    <w:rsid w:val="003F485E"/>
    <w:rsid w:val="00463CA2"/>
    <w:rsid w:val="0046761E"/>
    <w:rsid w:val="004A20DA"/>
    <w:rsid w:val="00503454"/>
    <w:rsid w:val="005477E6"/>
    <w:rsid w:val="005A4B3F"/>
    <w:rsid w:val="005B0281"/>
    <w:rsid w:val="005C1F2F"/>
    <w:rsid w:val="00622826"/>
    <w:rsid w:val="00657646"/>
    <w:rsid w:val="006631AF"/>
    <w:rsid w:val="006D06E7"/>
    <w:rsid w:val="00707BE2"/>
    <w:rsid w:val="007260EC"/>
    <w:rsid w:val="00726D0B"/>
    <w:rsid w:val="00735F12"/>
    <w:rsid w:val="00746958"/>
    <w:rsid w:val="0077224A"/>
    <w:rsid w:val="007E032B"/>
    <w:rsid w:val="007F659B"/>
    <w:rsid w:val="00827118"/>
    <w:rsid w:val="00841D53"/>
    <w:rsid w:val="008A50F3"/>
    <w:rsid w:val="008E1C88"/>
    <w:rsid w:val="00937DF6"/>
    <w:rsid w:val="009F5C75"/>
    <w:rsid w:val="00A36F65"/>
    <w:rsid w:val="00A42719"/>
    <w:rsid w:val="00A427E9"/>
    <w:rsid w:val="00A4543C"/>
    <w:rsid w:val="00A7148D"/>
    <w:rsid w:val="00B07EBC"/>
    <w:rsid w:val="00B52028"/>
    <w:rsid w:val="00B66080"/>
    <w:rsid w:val="00B70C62"/>
    <w:rsid w:val="00B95642"/>
    <w:rsid w:val="00BD12B3"/>
    <w:rsid w:val="00C65102"/>
    <w:rsid w:val="00DE092C"/>
    <w:rsid w:val="00E506E6"/>
    <w:rsid w:val="00E5366E"/>
    <w:rsid w:val="00E85A33"/>
    <w:rsid w:val="00E86AD7"/>
    <w:rsid w:val="00E977B9"/>
    <w:rsid w:val="00EA4BBE"/>
    <w:rsid w:val="00EB207A"/>
    <w:rsid w:val="00F85200"/>
    <w:rsid w:val="00F867F3"/>
    <w:rsid w:val="00FA10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E6D3392-0496-6349-8C11-3AD3FD10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tabs>
        <w:tab w:val="left" w:pos="3969"/>
      </w:tabs>
      <w:ind w:left="567"/>
      <w:jc w:val="both"/>
      <w:outlineLvl w:val="0"/>
    </w:pPr>
    <w:rPr>
      <w:rFonts w:ascii="Garamond" w:hAnsi="Garamond" w:cs="Garamon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Verdana"/>
      <w:sz w:val="24"/>
      <w:szCs w:val="24"/>
      <w:lang w:val="pt-BR" w:eastAsia="zh-CN" w:bidi="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Heading1Char">
    <w:name w:val="Heading 1 Char"/>
    <w:basedOn w:val="Fontepargpadro1"/>
    <w:rPr>
      <w:rFonts w:ascii="Cambria" w:hAnsi="Cambria" w:cs="Times New Roman"/>
      <w:b/>
      <w:bCs/>
      <w:kern w:val="2"/>
      <w:sz w:val="32"/>
      <w:szCs w:val="32"/>
    </w:rPr>
  </w:style>
  <w:style w:type="character" w:customStyle="1" w:styleId="FooterChar">
    <w:name w:val="Footer Char"/>
    <w:basedOn w:val="Fontepargpadro1"/>
    <w:rPr>
      <w:rFonts w:cs="Times New Roman"/>
    </w:rPr>
  </w:style>
  <w:style w:type="character" w:styleId="Nmerodepgina">
    <w:name w:val="page number"/>
    <w:basedOn w:val="Fontepargpadro1"/>
    <w:rPr>
      <w:rFonts w:cs="Times New Roman"/>
    </w:rPr>
  </w:style>
  <w:style w:type="character" w:customStyle="1" w:styleId="BodyText3Char">
    <w:name w:val="Body Text 3 Char"/>
    <w:basedOn w:val="Fontepargpadro1"/>
    <w:rPr>
      <w:rFonts w:cs="Times New Roman"/>
      <w:sz w:val="16"/>
      <w:szCs w:val="16"/>
    </w:rPr>
  </w:style>
  <w:style w:type="character" w:customStyle="1" w:styleId="BalloonTextChar">
    <w:name w:val="Balloon Text Char"/>
    <w:basedOn w:val="Fontepargpadro1"/>
    <w:rPr>
      <w:rFonts w:cs="Times New Roman"/>
      <w:sz w:val="2"/>
    </w:rPr>
  </w:style>
  <w:style w:type="character" w:customStyle="1" w:styleId="HeaderChar">
    <w:name w:val="Header Char"/>
    <w:basedOn w:val="Fontepargpadro1"/>
    <w:rPr>
      <w:rFonts w:cs="Times New Roman"/>
    </w:rPr>
  </w:style>
  <w:style w:type="character" w:customStyle="1" w:styleId="FootnoteTextChar">
    <w:name w:val="Footnote Text Char"/>
    <w:basedOn w:val="Fontepargpadro1"/>
    <w:rPr>
      <w:rFonts w:cs="Times New Roman"/>
    </w:rPr>
  </w:style>
  <w:style w:type="character" w:customStyle="1" w:styleId="Caracteresdenotaderodap">
    <w:name w:val="Caracteres de nota de rodapé"/>
    <w:basedOn w:val="Fontepargpadro1"/>
    <w:rPr>
      <w:rFonts w:cs="Times New Roman"/>
      <w:vertAlign w:val="superscript"/>
    </w:rPr>
  </w:style>
  <w:style w:type="character" w:styleId="Hyperlink">
    <w:name w:val="Hyperlink"/>
    <w:basedOn w:val="Fontepargpadro1"/>
    <w:rPr>
      <w:rFonts w:cs="Times New Roman"/>
      <w:color w:val="0000FF"/>
      <w:u w:val="single"/>
    </w:rPr>
  </w:style>
  <w:style w:type="character" w:styleId="Refdenotaderodap">
    <w:name w:val="footnote reference"/>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Refdenotadefim">
    <w:name w:val="endnote reference"/>
    <w:rPr>
      <w:vertAlign w:val="superscript"/>
    </w:rPr>
  </w:style>
  <w:style w:type="character" w:customStyle="1" w:styleId="Smbolosdenumerao">
    <w:name w:val="Símbolos de numeração"/>
  </w:style>
  <w:style w:type="character" w:styleId="Forte">
    <w:name w:val="Strong"/>
    <w:qFormat/>
    <w:rPr>
      <w:b/>
      <w:bCs/>
    </w:rPr>
  </w:style>
  <w:style w:type="paragraph" w:customStyle="1" w:styleId="Ttulo10">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Rodap">
    <w:name w:val="footer"/>
    <w:basedOn w:val="Normal"/>
    <w:pPr>
      <w:tabs>
        <w:tab w:val="center" w:pos="4320"/>
        <w:tab w:val="right" w:pos="8640"/>
      </w:tabs>
    </w:pPr>
    <w:rPr>
      <w:rFonts w:ascii="Umbrella" w:hAnsi="Umbrella" w:cs="Umbrella"/>
      <w:lang w:val="x-none" w:eastAsia="x-none"/>
    </w:rPr>
  </w:style>
  <w:style w:type="paragraph" w:customStyle="1" w:styleId="Corpodetexto31">
    <w:name w:val="Corpo de texto 31"/>
    <w:basedOn w:val="Normal"/>
    <w:pPr>
      <w:widowControl w:val="0"/>
      <w:spacing w:line="240" w:lineRule="atLeast"/>
    </w:pPr>
    <w:rPr>
      <w:rFonts w:ascii="Book Antiqua" w:hAnsi="Book Antiqua" w:cs="Book Antiqua"/>
      <w:b/>
      <w:sz w:val="22"/>
    </w:rPr>
  </w:style>
  <w:style w:type="paragraph" w:customStyle="1" w:styleId="Blockquote">
    <w:name w:val="Blockquote"/>
    <w:basedOn w:val="Normal"/>
    <w:pPr>
      <w:spacing w:before="100" w:after="100"/>
      <w:ind w:left="360" w:right="360"/>
    </w:pPr>
    <w:rPr>
      <w:sz w:val="24"/>
    </w:rPr>
  </w:style>
  <w:style w:type="paragraph" w:styleId="Textodebalo">
    <w:name w:val="Balloon Text"/>
    <w:basedOn w:val="Normal"/>
    <w:rPr>
      <w:rFonts w:ascii="Tahoma" w:hAnsi="Tahoma" w:cs="Tahoma"/>
      <w:sz w:val="16"/>
      <w:szCs w:val="16"/>
    </w:rPr>
  </w:style>
  <w:style w:type="paragraph" w:styleId="NormalWeb">
    <w:name w:val="Normal (Web)"/>
    <w:basedOn w:val="Normal"/>
    <w:pPr>
      <w:spacing w:before="280" w:after="280"/>
    </w:pPr>
    <w:rPr>
      <w:rFonts w:ascii="Arial Unicode MS" w:eastAsia="Arial Unicode MS" w:hAnsi="Arial Unicode MS" w:cs="Arial Unicode MS"/>
      <w:sz w:val="24"/>
      <w:szCs w:val="24"/>
    </w:rPr>
  </w:style>
  <w:style w:type="paragraph" w:styleId="Cabealho">
    <w:name w:val="header"/>
    <w:basedOn w:val="Normal"/>
    <w:pPr>
      <w:tabs>
        <w:tab w:val="center" w:pos="4252"/>
        <w:tab w:val="right" w:pos="8504"/>
      </w:tabs>
    </w:pPr>
  </w:style>
  <w:style w:type="paragraph" w:styleId="Textodenotaderodap">
    <w:name w:val="footnote text"/>
    <w:basedOn w:val="Normal"/>
  </w:style>
  <w:style w:type="paragraph" w:customStyle="1" w:styleId="Contedodoquadro">
    <w:name w:val="Conteúdo do quadro"/>
    <w:basedOn w:val="Normal"/>
  </w:style>
  <w:style w:type="paragraph" w:customStyle="1" w:styleId="Standard">
    <w:name w:val="Standard"/>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pPr>
      <w:spacing w:after="140" w:line="288" w:lineRule="auto"/>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PargrafodaLista">
    <w:name w:val="List Paragraph"/>
    <w:basedOn w:val="Normal"/>
    <w:uiPriority w:val="34"/>
    <w:qFormat/>
    <w:rsid w:val="00001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1919</Words>
  <Characters>10368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RECOMENDAÇÃO ADMINISTRATIVA Nº  ____/09</vt:lpstr>
    </vt:vector>
  </TitlesOfParts>
  <Company/>
  <LinksUpToDate>false</LinksUpToDate>
  <CharactersWithSpaces>12263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RECOMENDAÇÃO ADMINISTRATIVA Nº  ____/09</dc:title>
  <dc:subject/>
  <dc:creator>marcio</dc:creator>
  <cp:keywords/>
  <cp:lastModifiedBy>marcio</cp:lastModifiedBy>
  <cp:revision>4</cp:revision>
  <cp:lastPrinted>1995-11-21T20:41:00Z</cp:lastPrinted>
  <dcterms:created xsi:type="dcterms:W3CDTF">2020-04-27T15:32:00Z</dcterms:created>
  <dcterms:modified xsi:type="dcterms:W3CDTF">2020-04-27T15:36:00Z</dcterms:modified>
</cp:coreProperties>
</file>