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footnotes.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center"/>
        <w:rPr>
          <w:rFonts w:ascii="Times New Roman" w:hAnsi="Times New Roman"/>
          <w:b/>
          <w:b/>
          <w:bCs/>
          <w:sz w:val="24"/>
          <w:szCs w:val="24"/>
        </w:rPr>
      </w:pPr>
      <w:r>
        <w:rPr>
          <w:rFonts w:ascii="Times New Roman" w:hAnsi="Times New Roman"/>
          <w:b/>
          <w:bCs/>
          <w:sz w:val="24"/>
          <w:szCs w:val="24"/>
        </w:rPr>
        <w:t xml:space="preserve">Recomendação Administrativa nº </w:t>
      </w:r>
      <w:r>
        <w:rPr>
          <w:rFonts w:ascii="Times New Roman" w:hAnsi="Times New Roman"/>
          <w:b/>
          <w:bCs/>
          <w:sz w:val="24"/>
          <w:szCs w:val="24"/>
          <w:highlight w:val="yellow"/>
        </w:rPr>
        <w:t>xxx/</w:t>
      </w:r>
      <w:r>
        <w:rPr>
          <w:rFonts w:ascii="Times New Roman" w:hAnsi="Times New Roman"/>
          <w:b/>
          <w:bCs/>
          <w:sz w:val="24"/>
          <w:szCs w:val="24"/>
        </w:rPr>
        <w:t>2021</w:t>
      </w:r>
    </w:p>
    <w:p>
      <w:pPr>
        <w:pStyle w:val="Normal"/>
        <w:spacing w:lineRule="auto" w:line="360"/>
        <w:jc w:val="both"/>
        <w:rPr>
          <w:rFonts w:ascii="Times New Roman" w:hAnsi="Times New Roman"/>
          <w:sz w:val="24"/>
          <w:szCs w:val="24"/>
        </w:rPr>
      </w:pPr>
      <w:r>
        <w:rPr>
          <w:rFonts w:ascii="Times New Roman" w:hAnsi="Times New Roman"/>
          <w:sz w:val="24"/>
          <w:szCs w:val="24"/>
        </w:rPr>
      </w:r>
    </w:p>
    <w:p>
      <w:pPr>
        <w:pStyle w:val="Normal"/>
        <w:spacing w:lineRule="auto" w:line="360"/>
        <w:ind w:firstLine="1134"/>
        <w:jc w:val="both"/>
        <w:rPr>
          <w:rFonts w:ascii="Times New Roman" w:hAnsi="Times New Roman"/>
          <w:sz w:val="24"/>
          <w:szCs w:val="24"/>
        </w:rPr>
      </w:pPr>
      <w:r>
        <w:rPr>
          <w:rFonts w:ascii="Times New Roman" w:hAnsi="Times New Roman"/>
          <w:b/>
          <w:bCs/>
          <w:sz w:val="24"/>
          <w:szCs w:val="24"/>
        </w:rPr>
        <w:t>CONSIDERANDO</w:t>
      </w:r>
      <w:r>
        <w:rPr>
          <w:rFonts w:ascii="Times New Roman" w:hAnsi="Times New Roman"/>
          <w:sz w:val="24"/>
          <w:szCs w:val="24"/>
        </w:rPr>
        <w:t xml:space="preserve"> o consenso científico de que a atividade humana é responsável pelo agravamento do efeito estufa, na medida em que atividades e empreendimentos que envolvem queima de combustíveis, geração e consumo de energia elétrica, queimadas, desmatamento, manejo de resíduos e criação extensiva de animais, por exemplo, acarretam a liberação e concentração de gases de efeito estufa, como o gás carbônico (CO</w:t>
      </w:r>
      <w:r>
        <w:rPr>
          <w:rFonts w:ascii="Times New Roman" w:hAnsi="Times New Roman"/>
          <w:sz w:val="24"/>
          <w:szCs w:val="24"/>
          <w:vertAlign w:val="subscript"/>
        </w:rPr>
        <w:t>2</w:t>
      </w:r>
      <w:r>
        <w:rPr>
          <w:rFonts w:ascii="Times New Roman" w:hAnsi="Times New Roman"/>
          <w:sz w:val="24"/>
          <w:szCs w:val="24"/>
        </w:rPr>
        <w:t>), metano (CH</w:t>
      </w:r>
      <w:r>
        <w:rPr>
          <w:rFonts w:ascii="Times New Roman" w:hAnsi="Times New Roman"/>
          <w:sz w:val="24"/>
          <w:szCs w:val="24"/>
          <w:vertAlign w:val="subscript"/>
        </w:rPr>
        <w:t>4</w:t>
      </w:r>
      <w:r>
        <w:rPr>
          <w:rFonts w:ascii="Times New Roman" w:hAnsi="Times New Roman"/>
          <w:sz w:val="24"/>
          <w:szCs w:val="24"/>
        </w:rPr>
        <w:t>), ozônio (O</w:t>
      </w:r>
      <w:r>
        <w:rPr>
          <w:rFonts w:ascii="Times New Roman" w:hAnsi="Times New Roman"/>
          <w:sz w:val="24"/>
          <w:szCs w:val="24"/>
          <w:vertAlign w:val="subscript"/>
        </w:rPr>
        <w:t>3</w:t>
      </w:r>
      <w:r>
        <w:rPr>
          <w:rFonts w:ascii="Times New Roman" w:hAnsi="Times New Roman"/>
          <w:sz w:val="24"/>
          <w:szCs w:val="24"/>
        </w:rPr>
        <w:t>), óxido nitroso (N</w:t>
      </w:r>
      <w:r>
        <w:rPr>
          <w:rFonts w:ascii="Times New Roman" w:hAnsi="Times New Roman"/>
          <w:sz w:val="24"/>
          <w:szCs w:val="24"/>
          <w:vertAlign w:val="subscript"/>
        </w:rPr>
        <w:t>2</w:t>
      </w:r>
      <w:r>
        <w:rPr>
          <w:rFonts w:ascii="Times New Roman" w:hAnsi="Times New Roman"/>
          <w:sz w:val="24"/>
          <w:szCs w:val="24"/>
        </w:rPr>
        <w:t>O), clorofluorocarbonetos (CFCs), hexafluorido de enxofre (SF</w:t>
      </w:r>
      <w:r>
        <w:rPr>
          <w:rFonts w:ascii="Times New Roman" w:hAnsi="Times New Roman"/>
          <w:sz w:val="24"/>
          <w:szCs w:val="24"/>
          <w:vertAlign w:val="subscript"/>
        </w:rPr>
        <w:t>6</w:t>
      </w:r>
      <w:r>
        <w:rPr>
          <w:rFonts w:ascii="Times New Roman" w:hAnsi="Times New Roman"/>
          <w:sz w:val="24"/>
          <w:szCs w:val="24"/>
        </w:rPr>
        <w:t>), Hidrofluorcarbonos (HFCs) e Perfluorcarbonos (PFCs) na atmosfera;</w:t>
      </w:r>
      <w:r>
        <w:rPr>
          <w:rStyle w:val="Ncoradanotaderodap"/>
          <w:rFonts w:ascii="Times New Roman" w:hAnsi="Times New Roman"/>
          <w:sz w:val="24"/>
          <w:szCs w:val="24"/>
        </w:rPr>
        <w:footnoteReference w:id="2"/>
      </w:r>
    </w:p>
    <w:p>
      <w:pPr>
        <w:pStyle w:val="Normal"/>
        <w:spacing w:lineRule="auto" w:line="360"/>
        <w:ind w:firstLine="1134"/>
        <w:jc w:val="both"/>
        <w:rPr>
          <w:rFonts w:ascii="Times New Roman" w:hAnsi="Times New Roman"/>
          <w:sz w:val="24"/>
          <w:szCs w:val="24"/>
        </w:rPr>
      </w:pPr>
      <w:r>
        <w:rPr>
          <w:rFonts w:ascii="Times New Roman" w:hAnsi="Times New Roman"/>
          <w:b/>
          <w:bCs/>
          <w:sz w:val="24"/>
          <w:szCs w:val="24"/>
        </w:rPr>
        <w:t>CONSIDERANDO</w:t>
      </w:r>
      <w:r>
        <w:rPr>
          <w:rFonts w:ascii="Times New Roman" w:hAnsi="Times New Roman"/>
          <w:sz w:val="24"/>
          <w:szCs w:val="24"/>
        </w:rPr>
        <w:t xml:space="preserve"> que esse aumento na concentração de gases de efeito estufa na atmosfera tem, como principais consequências, o aumento da temperatura média do planeta e o aumento da frequência e da intensidade de eventos climáticos extremos, que incluem ondas de calor, ondas de calor marinhas, o derretimento das calotas polares, o aumento do nível dos mares e oceanos, o agravamento da erosão litorânea, o aumento da precipitação pesada e dos riscos de deslizamentos e enchentes, a ocorrência de ciclones, secas prolongadas e incêndios florestais, entre outros, todos eventos com impactos importantes para os ecossistemas, a fauna, a flora e as comunidades humanas em todo o globo;</w:t>
      </w:r>
      <w:r>
        <w:rPr>
          <w:rStyle w:val="Ncoradanotaderodap"/>
          <w:rFonts w:ascii="Times New Roman" w:hAnsi="Times New Roman"/>
          <w:sz w:val="24"/>
          <w:szCs w:val="24"/>
        </w:rPr>
        <w:footnoteReference w:id="3"/>
      </w:r>
    </w:p>
    <w:p>
      <w:pPr>
        <w:pStyle w:val="Normal"/>
        <w:spacing w:lineRule="auto" w:line="360"/>
        <w:ind w:firstLine="1134"/>
        <w:jc w:val="both"/>
        <w:rPr>
          <w:rFonts w:ascii="Times New Roman" w:hAnsi="Times New Roman"/>
          <w:sz w:val="24"/>
          <w:szCs w:val="24"/>
        </w:rPr>
      </w:pPr>
      <w:r>
        <w:rPr>
          <w:rFonts w:ascii="Times New Roman" w:hAnsi="Times New Roman"/>
          <w:b/>
          <w:bCs/>
          <w:sz w:val="24"/>
          <w:szCs w:val="24"/>
        </w:rPr>
        <w:t>CONSIDERANDO</w:t>
      </w:r>
      <w:r>
        <w:rPr>
          <w:rFonts w:ascii="Times New Roman" w:hAnsi="Times New Roman"/>
          <w:sz w:val="24"/>
          <w:szCs w:val="24"/>
        </w:rPr>
        <w:t xml:space="preserve"> que as mudanças climáticas são uma grande ameaça à biodiversidade, razão pela qual colocam em risco não apenas as populações animais e vegetais, mas também a segurança alimentar da população mundial e da disponibilidade de insumos para a produção de medicamentos, além de ampliar o risco de aparecimento de novas epidemias</w:t>
      </w:r>
      <w:r>
        <w:rPr>
          <w:rStyle w:val="Ncoradanotaderodap"/>
          <w:rFonts w:ascii="Times New Roman" w:hAnsi="Times New Roman"/>
          <w:sz w:val="24"/>
          <w:szCs w:val="24"/>
        </w:rPr>
        <w:footnoteReference w:id="4"/>
      </w:r>
      <w:r>
        <w:rPr>
          <w:rFonts w:ascii="Times New Roman" w:hAnsi="Times New Roman"/>
          <w:sz w:val="24"/>
          <w:szCs w:val="24"/>
        </w:rPr>
        <w:t xml:space="preserve"> e de serem a causa provável de migrações forçadas e do aparecimento de milhares de refugiados climáticos ao longo dos próximos anos;</w:t>
      </w:r>
      <w:r>
        <w:rPr>
          <w:rStyle w:val="Ncoradanotaderodap"/>
          <w:rFonts w:ascii="Times New Roman" w:hAnsi="Times New Roman"/>
          <w:sz w:val="24"/>
          <w:szCs w:val="24"/>
        </w:rPr>
        <w:footnoteReference w:id="5"/>
      </w:r>
    </w:p>
    <w:p>
      <w:pPr>
        <w:pStyle w:val="Normal"/>
        <w:spacing w:lineRule="auto" w:line="360"/>
        <w:ind w:firstLine="1134"/>
        <w:jc w:val="both"/>
        <w:rPr>
          <w:rFonts w:ascii="Times New Roman" w:hAnsi="Times New Roman"/>
          <w:sz w:val="24"/>
          <w:szCs w:val="24"/>
        </w:rPr>
      </w:pPr>
      <w:r>
        <w:rPr>
          <w:rFonts w:ascii="Times New Roman" w:hAnsi="Times New Roman"/>
          <w:b/>
          <w:bCs/>
          <w:sz w:val="24"/>
          <w:szCs w:val="24"/>
        </w:rPr>
        <w:t xml:space="preserve">CONSIDERANDO </w:t>
      </w:r>
      <w:r>
        <w:rPr>
          <w:rFonts w:ascii="Times New Roman" w:hAnsi="Times New Roman"/>
          <w:sz w:val="24"/>
          <w:szCs w:val="24"/>
        </w:rPr>
        <w:t>a necessidade, cientificamente estabelecida e legalmente reconhecida pelo Acordo de Paris, do qual o Brasil é signatário, de manter o aumento da temperatura global abaixo de 2ºC em relação aos níveis pré-industriais para evitar desastres ambientais graves, extensos e irreversíveis ao planeta e às populações humanas,</w:t>
      </w:r>
      <w:r>
        <w:rPr>
          <w:rStyle w:val="Ncoradanotaderodap"/>
          <w:rFonts w:ascii="Times New Roman" w:hAnsi="Times New Roman"/>
          <w:sz w:val="24"/>
          <w:szCs w:val="24"/>
        </w:rPr>
        <w:footnoteReference w:id="6"/>
      </w:r>
      <w:r>
        <w:rPr>
          <w:rFonts w:ascii="Times New Roman" w:hAnsi="Times New Roman"/>
          <w:sz w:val="24"/>
          <w:szCs w:val="24"/>
        </w:rPr>
        <w:t xml:space="preserve"> bem como o fato de que já em 2015 nos aproximávamos da metade desses níveis de aquecimento, com a temperatura média do planeta cerca de 1ºC mais alta do que as medidas na era pré-industrial,</w:t>
      </w:r>
      <w:r>
        <w:rPr>
          <w:rStyle w:val="Ncoradanotaderodap"/>
          <w:rFonts w:ascii="Times New Roman" w:hAnsi="Times New Roman"/>
          <w:sz w:val="24"/>
          <w:szCs w:val="24"/>
        </w:rPr>
        <w:footnoteReference w:id="7"/>
      </w:r>
      <w:r>
        <w:rPr>
          <w:rFonts w:ascii="Times New Roman" w:hAnsi="Times New Roman"/>
          <w:sz w:val="24"/>
          <w:szCs w:val="24"/>
        </w:rPr>
        <w:t xml:space="preserve"> a configurar verdadeira situação de emergência climática global da qual decorre a necessidade iminente de promover a descarbonização da economia mundial;</w:t>
      </w:r>
      <w:r>
        <w:rPr>
          <w:rStyle w:val="Ncoradanotaderodap"/>
          <w:rFonts w:ascii="Times New Roman" w:hAnsi="Times New Roman"/>
          <w:sz w:val="24"/>
          <w:szCs w:val="24"/>
        </w:rPr>
        <w:footnoteReference w:id="8"/>
      </w:r>
    </w:p>
    <w:p>
      <w:pPr>
        <w:pStyle w:val="Normal"/>
        <w:spacing w:lineRule="auto" w:line="360"/>
        <w:ind w:firstLine="1134"/>
        <w:jc w:val="both"/>
        <w:rPr>
          <w:rFonts w:ascii="Times New Roman" w:hAnsi="Times New Roman"/>
          <w:sz w:val="24"/>
          <w:szCs w:val="24"/>
        </w:rPr>
      </w:pPr>
      <w:r>
        <w:rPr>
          <w:rFonts w:ascii="Times New Roman" w:hAnsi="Times New Roman"/>
          <w:b/>
          <w:bCs/>
          <w:sz w:val="24"/>
          <w:szCs w:val="24"/>
        </w:rPr>
        <w:t>CONSIDERANDO</w:t>
      </w:r>
      <w:r>
        <w:rPr>
          <w:rFonts w:ascii="Times New Roman" w:hAnsi="Times New Roman"/>
          <w:sz w:val="24"/>
          <w:szCs w:val="24"/>
        </w:rPr>
        <w:t xml:space="preserve"> que o equilíbrio climático é pressuposto para a fruição de uma série de direitos fundamentais, como os direitos à vida, à saúde, à alimentação, à moradia, à cultura e ao trabalho, todos assegurados pela Constituição Federal de 1988;</w:t>
      </w:r>
    </w:p>
    <w:p>
      <w:pPr>
        <w:pStyle w:val="Normal"/>
        <w:spacing w:lineRule="auto" w:line="360"/>
        <w:ind w:firstLine="1134"/>
        <w:jc w:val="both"/>
        <w:rPr>
          <w:rFonts w:ascii="Times New Roman" w:hAnsi="Times New Roman"/>
          <w:sz w:val="24"/>
          <w:szCs w:val="24"/>
        </w:rPr>
      </w:pPr>
      <w:r>
        <w:rPr>
          <w:rFonts w:ascii="Times New Roman" w:hAnsi="Times New Roman"/>
          <w:b/>
          <w:bCs/>
          <w:sz w:val="24"/>
          <w:szCs w:val="24"/>
        </w:rPr>
        <w:t>CONSIDERANDO</w:t>
      </w:r>
      <w:r>
        <w:rPr>
          <w:rFonts w:ascii="Times New Roman" w:hAnsi="Times New Roman"/>
          <w:sz w:val="24"/>
          <w:szCs w:val="24"/>
        </w:rPr>
        <w:t xml:space="preserve"> que o artigo 225 da Constituição Federal assegura a todos o direito fundamental ao meio ambiente ecologicamente equilibrado, bem de uso comum do povo e essencial à sadia qualidade de vida, impondo-se ao Poder Público e à coletividade o dever de defendê-lo e preservá-lo para as presentes e futuras gerações, o que implica, necessariamente, o dever dos órgãos públicos de atuarem de forma a prevenir e minimizar possíveis danos ambientais;</w:t>
      </w:r>
    </w:p>
    <w:p>
      <w:pPr>
        <w:pStyle w:val="Normal"/>
        <w:spacing w:lineRule="auto" w:line="360"/>
        <w:ind w:firstLine="1134"/>
        <w:jc w:val="both"/>
        <w:rPr>
          <w:rFonts w:ascii="Times New Roman" w:hAnsi="Times New Roman"/>
          <w:sz w:val="24"/>
          <w:szCs w:val="24"/>
        </w:rPr>
      </w:pPr>
      <w:r>
        <w:rPr>
          <w:rFonts w:ascii="Times New Roman" w:hAnsi="Times New Roman"/>
          <w:b/>
          <w:bCs/>
          <w:sz w:val="24"/>
          <w:szCs w:val="24"/>
        </w:rPr>
        <w:t>CONSIDERANDO</w:t>
      </w:r>
      <w:r>
        <w:rPr>
          <w:rFonts w:ascii="Times New Roman" w:hAnsi="Times New Roman"/>
          <w:sz w:val="24"/>
          <w:szCs w:val="24"/>
        </w:rPr>
        <w:t xml:space="preserve"> que é de competência comum da União, dos Estados e dos Municípios a criação e implementação de medidas e políticas públicas voltadas à proteção do meio ambiente, em consonância com o artigo 23, VII, da Constituição Federal;</w:t>
      </w:r>
    </w:p>
    <w:p>
      <w:pPr>
        <w:pStyle w:val="Normal"/>
        <w:spacing w:lineRule="auto" w:line="360"/>
        <w:ind w:firstLine="1134"/>
        <w:jc w:val="both"/>
        <w:rPr>
          <w:rFonts w:ascii="Times New Roman" w:hAnsi="Times New Roman"/>
          <w:sz w:val="24"/>
          <w:szCs w:val="24"/>
        </w:rPr>
      </w:pPr>
      <w:r>
        <w:rPr>
          <w:rFonts w:ascii="Times New Roman" w:hAnsi="Times New Roman"/>
          <w:b/>
          <w:bCs/>
          <w:sz w:val="24"/>
          <w:szCs w:val="24"/>
        </w:rPr>
        <w:t>CONSIDERANDO</w:t>
      </w:r>
      <w:r>
        <w:rPr>
          <w:rFonts w:ascii="Times New Roman" w:hAnsi="Times New Roman"/>
          <w:sz w:val="24"/>
          <w:szCs w:val="24"/>
        </w:rPr>
        <w:t xml:space="preserve"> que o meio ambiente compreende, nos termos da Política Nacional de Meio Ambiente (Lei nº 6.938/1981, art. 3º, inciso I), o conjunto de condições, leis, influências e interações de ordem física, química e biológica, que permite, abriga e rege a vida em todas as suas formas, aí incluído, portanto, o equilíbrio climático;</w:t>
      </w:r>
    </w:p>
    <w:p>
      <w:pPr>
        <w:pStyle w:val="Normal"/>
        <w:spacing w:lineRule="auto" w:line="360"/>
        <w:ind w:firstLine="1134"/>
        <w:jc w:val="both"/>
        <w:rPr>
          <w:rFonts w:ascii="Times New Roman" w:hAnsi="Times New Roman"/>
          <w:sz w:val="24"/>
          <w:szCs w:val="24"/>
        </w:rPr>
      </w:pPr>
      <w:r>
        <w:rPr>
          <w:rFonts w:ascii="Times New Roman" w:hAnsi="Times New Roman"/>
          <w:b/>
          <w:bCs/>
          <w:sz w:val="24"/>
          <w:szCs w:val="24"/>
        </w:rPr>
        <w:t>CONSIDERANDO</w:t>
      </w:r>
      <w:r>
        <w:rPr>
          <w:rFonts w:ascii="Times New Roman" w:hAnsi="Times New Roman"/>
          <w:sz w:val="24"/>
          <w:szCs w:val="24"/>
        </w:rPr>
        <w:t xml:space="preserve"> que a Convenção-Quadro das Nações Unidas foi internalizada pelo Brasil em 1998, ressaltando a preocupação mundial com relação às mudanças climáticas e tendo como objetivo a estabilização das concentrações de gases de efeito estufa na atmosfera em um nível que impeça uma interferência antrópica perigosa no sistema climático;</w:t>
      </w:r>
    </w:p>
    <w:p>
      <w:pPr>
        <w:pStyle w:val="Normal"/>
        <w:spacing w:lineRule="auto" w:line="360"/>
        <w:ind w:firstLine="1134"/>
        <w:jc w:val="both"/>
        <w:rPr>
          <w:rFonts w:ascii="Times New Roman" w:hAnsi="Times New Roman"/>
          <w:sz w:val="24"/>
          <w:szCs w:val="24"/>
        </w:rPr>
      </w:pPr>
      <w:r>
        <w:rPr>
          <w:rFonts w:ascii="Times New Roman" w:hAnsi="Times New Roman"/>
          <w:b/>
          <w:bCs/>
          <w:sz w:val="24"/>
          <w:szCs w:val="24"/>
        </w:rPr>
        <w:t>CONSIDERANDO</w:t>
      </w:r>
      <w:r>
        <w:rPr>
          <w:rFonts w:ascii="Times New Roman" w:hAnsi="Times New Roman"/>
          <w:sz w:val="24"/>
          <w:szCs w:val="24"/>
        </w:rPr>
        <w:t xml:space="preserve"> que o Brasil assumiu verdadeiro dever legal internacional de reduzir as suas emissões de gases de efeito estufa ao ratificar o Acordo de Paris, que entrou em vigor no ano de 2017, e definir, de forma soberana, a sua contribuição nacionalmente determinada (NDC);</w:t>
      </w:r>
      <w:r>
        <w:rPr>
          <w:rStyle w:val="Ncoradanotaderodap"/>
          <w:rFonts w:ascii="Times New Roman" w:hAnsi="Times New Roman"/>
          <w:sz w:val="24"/>
          <w:szCs w:val="24"/>
        </w:rPr>
        <w:footnoteReference w:id="9"/>
      </w:r>
    </w:p>
    <w:p>
      <w:pPr>
        <w:pStyle w:val="Normal"/>
        <w:spacing w:lineRule="auto" w:line="360"/>
        <w:ind w:firstLine="1134"/>
        <w:jc w:val="both"/>
        <w:rPr>
          <w:rFonts w:ascii="Times New Roman" w:hAnsi="Times New Roman"/>
          <w:sz w:val="24"/>
          <w:szCs w:val="24"/>
        </w:rPr>
      </w:pPr>
      <w:r>
        <w:rPr>
          <w:rFonts w:ascii="Times New Roman" w:hAnsi="Times New Roman"/>
          <w:b/>
          <w:bCs/>
          <w:sz w:val="24"/>
          <w:szCs w:val="24"/>
        </w:rPr>
        <w:t>CONSIDERANDO</w:t>
      </w:r>
      <w:r>
        <w:rPr>
          <w:rFonts w:ascii="Times New Roman" w:hAnsi="Times New Roman"/>
          <w:sz w:val="24"/>
          <w:szCs w:val="24"/>
        </w:rPr>
        <w:t xml:space="preserve"> que o princípio da prevenção, implícito no artigo 225 da Constituição Federal, impõe que se evitem ou minimizem os danos ambientais de atividades sabidamente degradadoras, tendo em vista que a impossibilidade da sua total e efetiva reparação;</w:t>
      </w:r>
    </w:p>
    <w:p>
      <w:pPr>
        <w:pStyle w:val="Normal"/>
        <w:spacing w:lineRule="auto" w:line="360"/>
        <w:ind w:firstLine="1134"/>
        <w:jc w:val="both"/>
        <w:rPr>
          <w:rFonts w:ascii="Times New Roman" w:hAnsi="Times New Roman"/>
          <w:sz w:val="24"/>
          <w:szCs w:val="24"/>
        </w:rPr>
      </w:pPr>
      <w:r>
        <w:rPr>
          <w:rFonts w:ascii="Times New Roman" w:hAnsi="Times New Roman"/>
          <w:b/>
          <w:bCs/>
          <w:sz w:val="24"/>
          <w:szCs w:val="24"/>
        </w:rPr>
        <w:t>CONSIDERANDO</w:t>
      </w:r>
      <w:r>
        <w:rPr>
          <w:rFonts w:ascii="Times New Roman" w:hAnsi="Times New Roman"/>
          <w:sz w:val="24"/>
          <w:szCs w:val="24"/>
        </w:rPr>
        <w:t xml:space="preserve"> a celebração do princípio da precaução na proteção jurídica do meio ambiente pelo Princípio 15 da Declaração do Rio de Janeiro sobre Meio Ambiente e Desenvolvimento Sustentável - RIO/92, pelo preâmbulo da Convenção Internacional da Diversidade Biológica - CDB, bem como nos artigos 10 e 11 do Protocolo de Cartagena sobre Biossegurança, todas convenções internacionais de que o Brasil é país signatário, de modo que eventual ausência de certeza científica não pode ser utilizada como razão para postergar medidas eficazes e economicamente viáveis para prevenir a degradação ambiental;</w:t>
      </w:r>
    </w:p>
    <w:p>
      <w:pPr>
        <w:pStyle w:val="Normal"/>
        <w:spacing w:lineRule="auto" w:line="360"/>
        <w:ind w:firstLine="1134"/>
        <w:jc w:val="both"/>
        <w:rPr>
          <w:rFonts w:ascii="Times New Roman" w:hAnsi="Times New Roman"/>
          <w:sz w:val="24"/>
          <w:szCs w:val="24"/>
        </w:rPr>
      </w:pPr>
      <w:r>
        <w:rPr>
          <w:rFonts w:ascii="Times New Roman" w:hAnsi="Times New Roman"/>
          <w:b/>
          <w:bCs/>
          <w:sz w:val="24"/>
          <w:szCs w:val="24"/>
        </w:rPr>
        <w:t>CONSIDERANDO</w:t>
      </w:r>
      <w:r>
        <w:rPr>
          <w:rFonts w:ascii="Times New Roman" w:hAnsi="Times New Roman"/>
          <w:sz w:val="24"/>
          <w:szCs w:val="24"/>
        </w:rPr>
        <w:t xml:space="preserve"> que a Política Nacional sobre Mudança do Clima, instituída pela Lei nº 12.187/2009, visa a proteção do sistema climático, a redução das emissões antrópicas de gases de efeito estufa, o fortalecimento dos sumidouros de gases de efeito estufa e a implementação de medidas de mitigação e adaptação às mudanças climáticas (art. 4º), estabelecendo princípios, diretrizes e instrumentos para pautar a atuação do Poder Público no sentido que tais objetivos sejam efetivamente alcançados;</w:t>
      </w:r>
    </w:p>
    <w:p>
      <w:pPr>
        <w:pStyle w:val="Normal"/>
        <w:spacing w:lineRule="auto" w:line="360"/>
        <w:ind w:firstLine="1134"/>
        <w:jc w:val="both"/>
        <w:rPr>
          <w:rFonts w:ascii="Times New Roman" w:hAnsi="Times New Roman"/>
          <w:sz w:val="24"/>
          <w:szCs w:val="24"/>
        </w:rPr>
      </w:pPr>
      <w:r>
        <w:rPr>
          <w:rFonts w:ascii="Times New Roman" w:hAnsi="Times New Roman"/>
          <w:b/>
          <w:bCs/>
          <w:sz w:val="24"/>
          <w:szCs w:val="24"/>
        </w:rPr>
        <w:t>CONSIDERANDO</w:t>
      </w:r>
      <w:r>
        <w:rPr>
          <w:rFonts w:ascii="Times New Roman" w:hAnsi="Times New Roman"/>
          <w:sz w:val="24"/>
          <w:szCs w:val="24"/>
        </w:rPr>
        <w:t xml:space="preserve"> que a Lei nº 12.651/2012, que dispõe sobre a preservação da vegetação nativa, reafirmou o compromisso do Brasil com o desenvolvimento sustentável mediante a preservação das suas florestas, da biodiversidade, do solo, dos recursos hídricos e da integridade do sistema climático, para o bem-estar das gerações presentes e futuras;</w:t>
      </w:r>
    </w:p>
    <w:p>
      <w:pPr>
        <w:pStyle w:val="Normal"/>
        <w:spacing w:lineRule="auto" w:line="360"/>
        <w:ind w:firstLine="1134"/>
        <w:jc w:val="both"/>
        <w:rPr>
          <w:rFonts w:ascii="Times New Roman" w:hAnsi="Times New Roman"/>
          <w:sz w:val="24"/>
          <w:szCs w:val="24"/>
        </w:rPr>
      </w:pPr>
      <w:r>
        <w:rPr>
          <w:rFonts w:ascii="Times New Roman" w:hAnsi="Times New Roman"/>
          <w:b/>
          <w:bCs/>
          <w:sz w:val="24"/>
          <w:szCs w:val="24"/>
        </w:rPr>
        <w:t xml:space="preserve">CONSIDERANDO </w:t>
      </w:r>
      <w:r>
        <w:rPr>
          <w:rFonts w:ascii="Times New Roman" w:hAnsi="Times New Roman"/>
          <w:sz w:val="24"/>
          <w:szCs w:val="24"/>
        </w:rPr>
        <w:t>que o Decreto Federal nº 7.037/2009, que aprovou o Programa Nacional de Direitos Humanos (PNDH-3) declarou que o modelo de desenvolvimento econômico nacional deve incorporar os valores de preservação ambiental e reconheceu que as mudanças climáticas impõem a reorientação das formas de exploração dos recursos naturais, de modo a valorizar a pessoa humana como sujeito central do processo de desenvolvimento, afirmando os direitos ambientais como Direitos Humanos e estabelecendo ações programáticas com vistas a fortalecer ações que estabilizem a concentração de gases de efeito estufa em nível que permita a adaptação natural dos ecossistemas à mudança do clima, controlando a interferência das atividades humanas (antrópicas) no sistema climático;</w:t>
      </w:r>
    </w:p>
    <w:p>
      <w:pPr>
        <w:pStyle w:val="Normal"/>
        <w:spacing w:lineRule="auto" w:line="360"/>
        <w:ind w:firstLine="1134"/>
        <w:jc w:val="both"/>
        <w:rPr>
          <w:rFonts w:ascii="Times New Roman" w:hAnsi="Times New Roman"/>
          <w:sz w:val="24"/>
          <w:szCs w:val="24"/>
        </w:rPr>
      </w:pPr>
      <w:r>
        <w:rPr>
          <w:rFonts w:ascii="Times New Roman" w:hAnsi="Times New Roman"/>
          <w:b/>
          <w:bCs/>
          <w:sz w:val="24"/>
          <w:szCs w:val="24"/>
        </w:rPr>
        <w:t xml:space="preserve">CONSIDERANDO </w:t>
      </w:r>
      <w:r>
        <w:rPr>
          <w:rFonts w:ascii="Times New Roman" w:hAnsi="Times New Roman"/>
          <w:sz w:val="24"/>
          <w:szCs w:val="24"/>
        </w:rPr>
        <w:t>que o exercício das atividades econômicas no Brasil está condicionado à preservação ambiental, nos termos do artigo 170, inciso VI, da Constituição Federal;</w:t>
      </w:r>
    </w:p>
    <w:p>
      <w:pPr>
        <w:pStyle w:val="Normal"/>
        <w:spacing w:lineRule="auto" w:line="360"/>
        <w:ind w:firstLine="1134"/>
        <w:jc w:val="both"/>
        <w:rPr>
          <w:rFonts w:ascii="Times New Roman" w:hAnsi="Times New Roman"/>
          <w:sz w:val="24"/>
          <w:szCs w:val="24"/>
        </w:rPr>
      </w:pPr>
      <w:r>
        <w:rPr>
          <w:rFonts w:ascii="Times New Roman" w:hAnsi="Times New Roman"/>
          <w:b/>
          <w:bCs/>
          <w:sz w:val="24"/>
          <w:szCs w:val="24"/>
        </w:rPr>
        <w:t>CONSIDERANDO</w:t>
      </w:r>
      <w:r>
        <w:rPr>
          <w:rFonts w:ascii="Times New Roman" w:hAnsi="Times New Roman"/>
          <w:sz w:val="24"/>
          <w:szCs w:val="24"/>
        </w:rPr>
        <w:t xml:space="preserve"> que o princípio geral de direito ambiental do poluidor-pagador, estabelecido pela Organização para a Cooperação e Desenvolvimento Econômico – OCDE em 1972 e reconhecido também na Declaração do Rio de Janeiro sobre Meio Ambiente e Desenvolvimento de 1992, determina que os custos das medidas de prevenção e controle de poluição devem ser suportados pelos responsáveis pelas atividades econômicas poluidoras, de forma a não onerar toda a coletividade injustamente e desestimular práticas degradadoras do meio ambiente;</w:t>
      </w:r>
    </w:p>
    <w:p>
      <w:pPr>
        <w:pStyle w:val="Normal"/>
        <w:spacing w:lineRule="auto" w:line="360"/>
        <w:ind w:firstLine="1134"/>
        <w:jc w:val="both"/>
        <w:rPr>
          <w:rFonts w:ascii="Times New Roman" w:hAnsi="Times New Roman"/>
          <w:sz w:val="24"/>
          <w:szCs w:val="24"/>
        </w:rPr>
      </w:pPr>
      <w:r>
        <w:rPr>
          <w:rFonts w:ascii="Times New Roman" w:hAnsi="Times New Roman"/>
          <w:b/>
          <w:bCs/>
          <w:sz w:val="24"/>
          <w:szCs w:val="24"/>
        </w:rPr>
        <w:t>CONSIDERANDO</w:t>
      </w:r>
      <w:r>
        <w:rPr>
          <w:rFonts w:ascii="Times New Roman" w:hAnsi="Times New Roman"/>
          <w:sz w:val="24"/>
          <w:szCs w:val="24"/>
        </w:rPr>
        <w:t xml:space="preserve"> que a construção, instalação, ampliação e funcionamento de estabelecimentos e atividades utilizadores de recursos ambientais, efetiva ou potencialmente poluidores, ou capazes de causar degradação ambiental, dependem de prévio licenciamento ambiental, conforme estabelece o artigo 10 da Política Nacional de Meio Ambiente (Lei Federal nº 6.938/81);</w:t>
      </w:r>
    </w:p>
    <w:p>
      <w:pPr>
        <w:pStyle w:val="Normal"/>
        <w:spacing w:lineRule="auto" w:line="360"/>
        <w:ind w:firstLine="1134"/>
        <w:jc w:val="both"/>
        <w:rPr>
          <w:rFonts w:ascii="Times New Roman" w:hAnsi="Times New Roman"/>
          <w:sz w:val="24"/>
          <w:szCs w:val="24"/>
        </w:rPr>
      </w:pPr>
      <w:r>
        <w:rPr>
          <w:rFonts w:ascii="Times New Roman" w:hAnsi="Times New Roman"/>
          <w:b/>
          <w:bCs/>
          <w:sz w:val="24"/>
          <w:szCs w:val="24"/>
        </w:rPr>
        <w:t>CONSIDERANDO</w:t>
      </w:r>
      <w:r>
        <w:rPr>
          <w:rFonts w:ascii="Times New Roman" w:hAnsi="Times New Roman"/>
          <w:sz w:val="24"/>
          <w:szCs w:val="24"/>
        </w:rPr>
        <w:t xml:space="preserve"> que, nos termos do art. 11 da Lei Federal nº 12.187/2009 e do artigo 2º do Decreto Federal nº 9.578/2018, os princípios, objetivos, diretrizes e instrumentos das políticas públicas e programas governamentais existentes devem se compatibilizar com a Política Nacional sobre Mudança do Clima, a qual expressamente estabelece, como diretriz, a sua articulação com outros instrumentos existentes de ação governamental já estabelecidos e aptos a contribuir com a proteção do sistema climático, como é o caso do licenciamento ambiental;</w:t>
      </w:r>
    </w:p>
    <w:p>
      <w:pPr>
        <w:pStyle w:val="Normal"/>
        <w:spacing w:lineRule="auto" w:line="360"/>
        <w:ind w:firstLine="1134"/>
        <w:jc w:val="both"/>
        <w:rPr>
          <w:rFonts w:ascii="Times New Roman" w:hAnsi="Times New Roman"/>
          <w:sz w:val="24"/>
          <w:szCs w:val="24"/>
        </w:rPr>
      </w:pPr>
      <w:r>
        <w:rPr>
          <w:rFonts w:ascii="Times New Roman" w:hAnsi="Times New Roman"/>
          <w:b/>
          <w:bCs/>
          <w:sz w:val="24"/>
          <w:szCs w:val="24"/>
        </w:rPr>
        <w:t>CONSIDERANDO</w:t>
      </w:r>
      <w:r>
        <w:rPr>
          <w:rFonts w:ascii="Times New Roman" w:hAnsi="Times New Roman"/>
          <w:sz w:val="24"/>
          <w:szCs w:val="24"/>
        </w:rPr>
        <w:t xml:space="preserve"> que estão sujeitos a licenciamento os empreendimentos capazes de causar qualquer tipo de impacto ambiental, nos termos da Resolução CONAMA nº 237/1997, que determina que dependerão de prévio licenciamento do órgão ambiental competente, sem prejuízo de outras licenças legalmente exigíveis, a localização, construção, instalação, ampliação, modificação e operação de empreendimentos e atividades utilizadoras de recursos ambientais consideradas efetiva ou potencialmente poluidoras, bem como os empreendimentos capazes de causar degradação ambiental;</w:t>
      </w:r>
    </w:p>
    <w:p>
      <w:pPr>
        <w:pStyle w:val="Normal"/>
        <w:spacing w:lineRule="auto" w:line="360"/>
        <w:ind w:firstLine="1134"/>
        <w:jc w:val="both"/>
        <w:rPr>
          <w:rFonts w:ascii="Times New Roman" w:hAnsi="Times New Roman"/>
          <w:sz w:val="24"/>
          <w:szCs w:val="24"/>
        </w:rPr>
      </w:pPr>
      <w:r>
        <w:rPr>
          <w:rFonts w:ascii="Times New Roman" w:hAnsi="Times New Roman"/>
          <w:b/>
          <w:bCs/>
          <w:sz w:val="24"/>
          <w:szCs w:val="24"/>
        </w:rPr>
        <w:t>CONSIDERANDO</w:t>
      </w:r>
      <w:r>
        <w:rPr>
          <w:rFonts w:ascii="Times New Roman" w:hAnsi="Times New Roman"/>
          <w:sz w:val="24"/>
          <w:szCs w:val="24"/>
        </w:rPr>
        <w:t xml:space="preserve"> que, nos termos da Resolução CONAMA nº 01/86, as atividades que têm o condão de causar significativo impacto ambiental impõe a obrigatoriedade de apresentação, no curso do processo de licenciamento, de estudo de impacto ambiental e relatório de impacto ambiental (EIA/RIMA), sendo considerado impacto ambiental qualquer alteração das propriedades físicas, químicas e biológicas do meio ambiente, causada por qualquer forma de matéria ou energia resultante das atividades humanas que afetam a saúde, a segurança, o bem-estar da população, as atividades sociais e econômicas, a biota, as condições estéticas e sanitárias do meio ambiente e a qualidade dos recursos ambientais;</w:t>
      </w:r>
    </w:p>
    <w:p>
      <w:pPr>
        <w:pStyle w:val="Normal"/>
        <w:spacing w:lineRule="auto" w:line="360"/>
        <w:ind w:firstLine="1134"/>
        <w:jc w:val="both"/>
        <w:rPr>
          <w:rFonts w:ascii="Times New Roman" w:hAnsi="Times New Roman"/>
          <w:sz w:val="24"/>
          <w:szCs w:val="24"/>
        </w:rPr>
      </w:pPr>
      <w:r>
        <w:rPr>
          <w:rFonts w:ascii="Times New Roman" w:hAnsi="Times New Roman"/>
          <w:b/>
          <w:bCs/>
          <w:sz w:val="24"/>
          <w:szCs w:val="24"/>
        </w:rPr>
        <w:t>CONSIDERANDO</w:t>
      </w:r>
      <w:r>
        <w:rPr>
          <w:rFonts w:ascii="Times New Roman" w:hAnsi="Times New Roman"/>
          <w:sz w:val="24"/>
          <w:szCs w:val="24"/>
        </w:rPr>
        <w:t xml:space="preserve"> que a Política Nacional sobre Mudança do Clima, expressamente o dever do Poder Público de exigir a avaliação de impactos ambientais sobre o microclima e o macroclima (art. 6º, inciso XVIII);</w:t>
      </w:r>
    </w:p>
    <w:p>
      <w:pPr>
        <w:pStyle w:val="Normal"/>
        <w:spacing w:lineRule="auto" w:line="360"/>
        <w:ind w:firstLine="1134"/>
        <w:jc w:val="both"/>
        <w:rPr>
          <w:rFonts w:ascii="Times New Roman" w:hAnsi="Times New Roman"/>
          <w:sz w:val="24"/>
          <w:szCs w:val="24"/>
        </w:rPr>
      </w:pPr>
      <w:r>
        <w:rPr>
          <w:rFonts w:ascii="Times New Roman" w:hAnsi="Times New Roman"/>
          <w:b/>
          <w:bCs/>
          <w:sz w:val="24"/>
          <w:szCs w:val="24"/>
        </w:rPr>
        <w:t>CONSIDERANDO</w:t>
      </w:r>
      <w:r>
        <w:rPr>
          <w:rFonts w:ascii="Times New Roman" w:hAnsi="Times New Roman"/>
          <w:sz w:val="24"/>
          <w:szCs w:val="24"/>
        </w:rPr>
        <w:t xml:space="preserve"> que a Instrução Normativa do IBAMA nº 12, de 23 de novembro de 2010, determina a avaliação, no processo de licenciamento de atividades capazes de emitir gases de efeito estufa, as medidas propostas pelo empreendedor com o objetivo de mitigar estes impactos ambientais;</w:t>
      </w:r>
    </w:p>
    <w:p>
      <w:pPr>
        <w:pStyle w:val="Normal"/>
        <w:spacing w:lineRule="auto" w:line="360"/>
        <w:ind w:firstLine="1134"/>
        <w:jc w:val="both"/>
        <w:rPr>
          <w:rFonts w:ascii="Times New Roman" w:hAnsi="Times New Roman"/>
          <w:sz w:val="24"/>
          <w:szCs w:val="24"/>
        </w:rPr>
      </w:pPr>
      <w:r>
        <w:rPr>
          <w:rFonts w:ascii="Times New Roman" w:hAnsi="Times New Roman"/>
          <w:b/>
          <w:bCs/>
          <w:sz w:val="24"/>
          <w:szCs w:val="24"/>
        </w:rPr>
        <w:t>CONSIDERANDO</w:t>
      </w:r>
      <w:r>
        <w:rPr>
          <w:rFonts w:ascii="Times New Roman" w:hAnsi="Times New Roman"/>
          <w:sz w:val="24"/>
          <w:szCs w:val="24"/>
        </w:rPr>
        <w:t xml:space="preserve"> que a Constituição Estadual do Rio Grande do Norte assegura a todos o direito ao meio ambiente ecologicamente saudável e equilibrado, bem de uso comum do povo e essencial à qualidade de vida, impondo ao Poder Público e à coletividade o dever de defendê-lo e preservá-lo, e de harmonizá-lo,  racionalmente, com as necessidades do desenvolvimento socioeconômico, para as presentes e futuras gerações, cabendo ao Poder Público, para assegurar tal direito, exigir estudo prévio de impacto ambiental para instalação de obra ou atividade potencialmente causadora de significativa degradação do meio ambiente, bem como fazer cumprir as ações compensatórias indicadas no estudo de impacto ambiental, compatíveis com o restabelecimento do equilíbrio ecológico (artigos 19, inciso VI e 150 </w:t>
      </w:r>
      <w:r>
        <w:rPr>
          <w:rFonts w:ascii="Times New Roman" w:hAnsi="Times New Roman"/>
          <w:i/>
          <w:iCs/>
          <w:sz w:val="24"/>
          <w:szCs w:val="24"/>
        </w:rPr>
        <w:t xml:space="preserve">caput </w:t>
      </w:r>
      <w:r>
        <w:rPr>
          <w:rFonts w:ascii="Times New Roman" w:hAnsi="Times New Roman"/>
          <w:sz w:val="24"/>
          <w:szCs w:val="24"/>
        </w:rPr>
        <w:t>e § 1º, inciso IV);</w:t>
      </w:r>
    </w:p>
    <w:p>
      <w:pPr>
        <w:pStyle w:val="Normal"/>
        <w:spacing w:lineRule="auto" w:line="360"/>
        <w:ind w:firstLine="1134"/>
        <w:jc w:val="both"/>
        <w:rPr>
          <w:rFonts w:ascii="Times New Roman" w:hAnsi="Times New Roman"/>
          <w:sz w:val="24"/>
          <w:szCs w:val="24"/>
        </w:rPr>
      </w:pPr>
      <w:r>
        <w:rPr>
          <w:rFonts w:ascii="Times New Roman" w:hAnsi="Times New Roman"/>
          <w:b/>
          <w:bCs/>
          <w:sz w:val="24"/>
          <w:szCs w:val="24"/>
        </w:rPr>
        <w:t>CONSIDERANDO</w:t>
      </w:r>
      <w:r>
        <w:rPr>
          <w:rFonts w:ascii="Times New Roman" w:hAnsi="Times New Roman"/>
          <w:sz w:val="24"/>
          <w:szCs w:val="24"/>
        </w:rPr>
        <w:t xml:space="preserve"> que cabe ao Ministério Público a defesa da ordem jurídica, do regime democrático e dos interesses sociais e individuais indisponíveis, sendo funções institucionais do Ministério Público a promoção do inquérito civil e da ação civil pública para a proteção do meio ambiente, nos termos dos artigos 127, </w:t>
      </w:r>
      <w:r>
        <w:rPr>
          <w:rFonts w:ascii="Times New Roman" w:hAnsi="Times New Roman"/>
          <w:i/>
          <w:iCs/>
          <w:sz w:val="24"/>
          <w:szCs w:val="24"/>
        </w:rPr>
        <w:t>caput</w:t>
      </w:r>
      <w:r>
        <w:rPr>
          <w:rFonts w:ascii="Times New Roman" w:hAnsi="Times New Roman"/>
          <w:sz w:val="24"/>
          <w:szCs w:val="24"/>
        </w:rPr>
        <w:t>, e 129, III, da Constituição Federal;</w:t>
      </w:r>
    </w:p>
    <w:p>
      <w:pPr>
        <w:pStyle w:val="Normal"/>
        <w:spacing w:lineRule="auto" w:line="360"/>
        <w:ind w:firstLine="1134"/>
        <w:jc w:val="both"/>
        <w:rPr>
          <w:rFonts w:ascii="Times New Roman" w:hAnsi="Times New Roman"/>
          <w:sz w:val="24"/>
          <w:szCs w:val="24"/>
        </w:rPr>
      </w:pPr>
      <w:r>
        <w:rPr>
          <w:rFonts w:ascii="Times New Roman" w:hAnsi="Times New Roman"/>
          <w:b/>
          <w:bCs/>
          <w:sz w:val="24"/>
          <w:szCs w:val="24"/>
        </w:rPr>
        <w:t>CONSIDERANDO</w:t>
      </w:r>
      <w:r>
        <w:rPr>
          <w:rFonts w:ascii="Times New Roman" w:hAnsi="Times New Roman"/>
          <w:sz w:val="24"/>
          <w:szCs w:val="24"/>
        </w:rPr>
        <w:t xml:space="preserve"> que cabe ao Ministério Público a expedição de recomendações, visando o respeito aos interesses, direitos e bens cuja defesa lhe cabe promover, fixando prazo razoável para a adoção das providências cabíveis;</w:t>
      </w:r>
    </w:p>
    <w:p>
      <w:pPr>
        <w:pStyle w:val="Normal"/>
        <w:spacing w:lineRule="auto" w:line="360"/>
        <w:ind w:firstLine="1134"/>
        <w:jc w:val="both"/>
        <w:rPr>
          <w:rFonts w:ascii="Times New Roman" w:hAnsi="Times New Roman"/>
          <w:sz w:val="24"/>
          <w:szCs w:val="24"/>
        </w:rPr>
      </w:pPr>
      <w:r>
        <w:rPr>
          <w:rFonts w:ascii="Times New Roman" w:hAnsi="Times New Roman"/>
          <w:b/>
          <w:bCs/>
          <w:sz w:val="24"/>
          <w:szCs w:val="24"/>
        </w:rPr>
        <w:t>CONSIDERANDO</w:t>
      </w:r>
      <w:r>
        <w:rPr>
          <w:rFonts w:ascii="Times New Roman" w:hAnsi="Times New Roman"/>
          <w:sz w:val="24"/>
          <w:szCs w:val="24"/>
        </w:rPr>
        <w:t xml:space="preserve"> que a Recomendação Administrativa é um importante instrumento de que dispõe o Ministério Público para ver respeitado o ordenamento jurídico, sem que haja a necessidade da judicialização de eventuais conflitos, alertando seus destinatários sobre a existência de normas vigentes e da necessidade de seu estrito cumprimento, sob pena de responsabilização;</w:t>
      </w:r>
    </w:p>
    <w:p>
      <w:pPr>
        <w:pStyle w:val="Normal"/>
        <w:spacing w:lineRule="auto" w:line="360"/>
        <w:ind w:firstLine="1134"/>
        <w:jc w:val="both"/>
        <w:rPr>
          <w:rFonts w:ascii="Times New Roman" w:hAnsi="Times New Roman"/>
          <w:sz w:val="24"/>
          <w:szCs w:val="24"/>
        </w:rPr>
      </w:pPr>
      <w:r>
        <w:rPr>
          <w:rFonts w:ascii="Times New Roman" w:hAnsi="Times New Roman"/>
          <w:sz w:val="24"/>
          <w:szCs w:val="24"/>
        </w:rPr>
      </w:r>
    </w:p>
    <w:p>
      <w:pPr>
        <w:pStyle w:val="Normal"/>
        <w:spacing w:lineRule="auto" w:line="360"/>
        <w:ind w:firstLine="1134"/>
        <w:jc w:val="both"/>
        <w:rPr>
          <w:rFonts w:ascii="Times New Roman" w:hAnsi="Times New Roman"/>
          <w:sz w:val="24"/>
          <w:szCs w:val="24"/>
        </w:rPr>
      </w:pPr>
      <w:r>
        <w:rPr>
          <w:rFonts w:ascii="Times New Roman" w:hAnsi="Times New Roman"/>
          <w:sz w:val="24"/>
          <w:szCs w:val="24"/>
        </w:rPr>
        <w:t xml:space="preserve">O </w:t>
      </w:r>
      <w:r>
        <w:rPr>
          <w:rFonts w:ascii="Times New Roman" w:hAnsi="Times New Roman"/>
          <w:b/>
          <w:bCs/>
          <w:sz w:val="24"/>
          <w:szCs w:val="24"/>
        </w:rPr>
        <w:t>MINISTÉRIO PÚBLICO DO ESTADO DO RIO GRANDE DO NORTE</w:t>
      </w:r>
      <w:r>
        <w:rPr>
          <w:rFonts w:ascii="Times New Roman" w:hAnsi="Times New Roman"/>
          <w:sz w:val="24"/>
          <w:szCs w:val="24"/>
        </w:rPr>
        <w:t xml:space="preserve">, no uso de suas atribuições constitucionais e legais, </w:t>
      </w:r>
      <w:r>
        <w:rPr>
          <w:rFonts w:ascii="Times New Roman" w:hAnsi="Times New Roman"/>
          <w:b/>
          <w:bCs/>
          <w:sz w:val="24"/>
          <w:szCs w:val="24"/>
          <w:u w:val="single"/>
        </w:rPr>
        <w:t>RECOMENDA</w:t>
      </w:r>
      <w:r>
        <w:rPr>
          <w:rFonts w:ascii="Times New Roman" w:hAnsi="Times New Roman"/>
          <w:sz w:val="24"/>
          <w:szCs w:val="24"/>
        </w:rPr>
        <w:t xml:space="preserve">, com especial fundamento nos artigos 127, </w:t>
      </w:r>
      <w:r>
        <w:rPr>
          <w:rFonts w:ascii="Times New Roman" w:hAnsi="Times New Roman"/>
          <w:i/>
          <w:iCs/>
          <w:sz w:val="24"/>
          <w:szCs w:val="24"/>
        </w:rPr>
        <w:t>caput</w:t>
      </w:r>
      <w:r>
        <w:rPr>
          <w:rFonts w:ascii="Times New Roman" w:hAnsi="Times New Roman"/>
          <w:sz w:val="24"/>
          <w:szCs w:val="24"/>
        </w:rPr>
        <w:t xml:space="preserve"> e 129, inciso II, da Constituição Federal e no artigo 27, parágrafo único, inciso IV da Lei Federal nº 8.725/1993, ao (</w:t>
      </w:r>
      <w:r>
        <w:rPr>
          <w:rFonts w:ascii="Times New Roman" w:hAnsi="Times New Roman"/>
          <w:sz w:val="24"/>
          <w:szCs w:val="24"/>
          <w:highlight w:val="yellow"/>
        </w:rPr>
        <w:t>REPRESENTANTE DO ÓRGÃO AMBIENTAL</w:t>
      </w:r>
      <w:r>
        <w:rPr>
          <w:rFonts w:ascii="Times New Roman" w:hAnsi="Times New Roman"/>
          <w:sz w:val="24"/>
          <w:szCs w:val="24"/>
        </w:rPr>
        <w:t xml:space="preserve">), ou a quem vier a lhe fazer as vezes no futuro, </w:t>
      </w:r>
      <w:r>
        <w:rPr>
          <w:rFonts w:ascii="Times New Roman" w:hAnsi="Times New Roman"/>
          <w:b/>
          <w:bCs/>
          <w:sz w:val="24"/>
          <w:szCs w:val="24"/>
        </w:rPr>
        <w:t>que adote as seguintes providências</w:t>
      </w:r>
      <w:r>
        <w:rPr>
          <w:rFonts w:ascii="Times New Roman" w:hAnsi="Times New Roman"/>
          <w:sz w:val="24"/>
          <w:szCs w:val="24"/>
        </w:rPr>
        <w:t xml:space="preserve"> nos processos administrativos de licenciamento ambiental:</w:t>
      </w:r>
    </w:p>
    <w:p>
      <w:pPr>
        <w:pStyle w:val="Normal"/>
        <w:spacing w:lineRule="auto" w:line="360"/>
        <w:jc w:val="both"/>
        <w:rPr>
          <w:rFonts w:ascii="Times New Roman" w:hAnsi="Times New Roman"/>
          <w:sz w:val="24"/>
          <w:szCs w:val="24"/>
        </w:rPr>
      </w:pPr>
      <w:r>
        <w:rPr>
          <w:rFonts w:ascii="Times New Roman" w:hAnsi="Times New Roman"/>
          <w:sz w:val="24"/>
          <w:szCs w:val="24"/>
        </w:rPr>
      </w:r>
    </w:p>
    <w:p>
      <w:pPr>
        <w:pStyle w:val="ListParagraph"/>
        <w:numPr>
          <w:ilvl w:val="0"/>
          <w:numId w:val="1"/>
        </w:numPr>
        <w:spacing w:lineRule="auto" w:line="360"/>
        <w:ind w:left="426" w:hanging="360"/>
        <w:jc w:val="both"/>
        <w:rPr>
          <w:rFonts w:ascii="Times New Roman" w:hAnsi="Times New Roman"/>
        </w:rPr>
      </w:pPr>
      <w:r>
        <w:rPr>
          <w:rFonts w:ascii="Times New Roman" w:hAnsi="Times New Roman"/>
        </w:rPr>
        <w:t>Que o Instituto de Desenvolvimento Sustentável e Meio Ambiente – IDEMA edite ato normativo próprio, dentro do prazo de até 90 (noventa dias), no sentido de passar a exigir, para o licenciamento ambiental de empreendimentos e atividades consideradas efetiva ou potencialmente causadoras de significativa degradação do meio ambiente, que os estudos de EIA/RIMA incluam um diagnóstico climático.</w:t>
      </w:r>
    </w:p>
    <w:p>
      <w:pPr>
        <w:pStyle w:val="ListParagraph"/>
        <w:spacing w:lineRule="auto" w:line="360"/>
        <w:ind w:left="426" w:hanging="0"/>
        <w:jc w:val="both"/>
        <w:rPr>
          <w:rFonts w:ascii="Times New Roman" w:hAnsi="Times New Roman"/>
        </w:rPr>
      </w:pPr>
      <w:r>
        <w:rPr>
          <w:rFonts w:ascii="Times New Roman" w:hAnsi="Times New Roman"/>
        </w:rPr>
      </w:r>
    </w:p>
    <w:p>
      <w:pPr>
        <w:pStyle w:val="ListParagraph"/>
        <w:numPr>
          <w:ilvl w:val="1"/>
          <w:numId w:val="1"/>
        </w:numPr>
        <w:spacing w:lineRule="auto" w:line="360"/>
        <w:ind w:left="851" w:hanging="480"/>
        <w:jc w:val="both"/>
        <w:rPr>
          <w:rFonts w:ascii="Times New Roman" w:hAnsi="Times New Roman"/>
        </w:rPr>
      </w:pPr>
      <w:r>
        <w:rPr>
          <w:rFonts w:ascii="Times New Roman" w:hAnsi="Times New Roman"/>
        </w:rPr>
        <w:t>Tais estudos devem permitir identificar e mensurar os impactos que a implementação, operação e desativação de tais empreendimentos podem trazer ao clima, seja em razão da emissão de GEE, seja em razão do seu impacto nos serviços ecossistêmicos locais importantes para a regulação climática, de modo a também assegurar a adequada análise de alternativas locacionais e tecnológicas em uma fase de eventual aprovação do empreendimento, e a implementação de medidas de mitigação e compensação nas fases de instalação, operação e desativação.</w:t>
      </w:r>
    </w:p>
    <w:p>
      <w:pPr>
        <w:pStyle w:val="ListParagraph"/>
        <w:spacing w:lineRule="auto" w:line="360"/>
        <w:ind w:left="851" w:hanging="0"/>
        <w:jc w:val="both"/>
        <w:rPr>
          <w:rFonts w:ascii="Times New Roman" w:hAnsi="Times New Roman"/>
        </w:rPr>
      </w:pPr>
      <w:r>
        <w:rPr>
          <w:rFonts w:ascii="Times New Roman" w:hAnsi="Times New Roman"/>
        </w:rPr>
      </w:r>
    </w:p>
    <w:p>
      <w:pPr>
        <w:pStyle w:val="ListParagraph"/>
        <w:numPr>
          <w:ilvl w:val="1"/>
          <w:numId w:val="1"/>
        </w:numPr>
        <w:spacing w:lineRule="auto" w:line="360"/>
        <w:ind w:left="851" w:hanging="480"/>
        <w:jc w:val="both"/>
        <w:rPr>
          <w:rFonts w:ascii="Times New Roman" w:hAnsi="Times New Roman"/>
        </w:rPr>
      </w:pPr>
      <w:r>
        <w:rPr>
          <w:rFonts w:ascii="Times New Roman" w:hAnsi="Times New Roman"/>
        </w:rPr>
        <w:t>O ato normativo pode adotar os parâmetros técnicos sugeridos no Termo de Referência e na matriz de impactos climáticos contidos no Anexo I.</w:t>
      </w:r>
    </w:p>
    <w:p>
      <w:pPr>
        <w:pStyle w:val="Normal"/>
        <w:spacing w:lineRule="auto" w:line="360"/>
        <w:ind w:firstLine="1134"/>
        <w:jc w:val="both"/>
        <w:rPr>
          <w:rFonts w:ascii="Times New Roman" w:hAnsi="Times New Roman"/>
          <w:sz w:val="24"/>
          <w:szCs w:val="24"/>
        </w:rPr>
      </w:pPr>
      <w:r>
        <w:rPr>
          <w:rFonts w:ascii="Times New Roman" w:hAnsi="Times New Roman"/>
          <w:sz w:val="24"/>
          <w:szCs w:val="24"/>
        </w:rPr>
      </w:r>
    </w:p>
    <w:p>
      <w:pPr>
        <w:pStyle w:val="Normal"/>
        <w:spacing w:lineRule="auto" w:line="360"/>
        <w:ind w:firstLine="1134"/>
        <w:jc w:val="both"/>
        <w:rPr>
          <w:rFonts w:ascii="Times New Roman" w:hAnsi="Times New Roman"/>
          <w:sz w:val="24"/>
          <w:szCs w:val="24"/>
        </w:rPr>
      </w:pPr>
      <w:r>
        <w:rPr>
          <w:rFonts w:ascii="Times New Roman" w:hAnsi="Times New Roman"/>
          <w:sz w:val="24"/>
          <w:szCs w:val="24"/>
        </w:rPr>
        <w:t xml:space="preserve">Comunique-se ao atual </w:t>
      </w:r>
      <w:r>
        <w:rPr>
          <w:rFonts w:ascii="Times New Roman" w:hAnsi="Times New Roman"/>
          <w:sz w:val="24"/>
          <w:szCs w:val="24"/>
          <w:highlight w:val="yellow"/>
        </w:rPr>
        <w:t>xxx</w:t>
      </w:r>
      <w:r>
        <w:rPr>
          <w:rFonts w:ascii="Times New Roman" w:hAnsi="Times New Roman"/>
          <w:sz w:val="24"/>
          <w:szCs w:val="24"/>
        </w:rPr>
        <w:t xml:space="preserve">, por meio da entrega digital da própria Recomendação Administrativa, com a indicação do prazo de </w:t>
      </w:r>
      <w:r>
        <w:rPr>
          <w:rFonts w:ascii="Times New Roman" w:hAnsi="Times New Roman"/>
          <w:sz w:val="24"/>
          <w:szCs w:val="24"/>
          <w:highlight w:val="yellow"/>
        </w:rPr>
        <w:t>xxx</w:t>
      </w:r>
      <w:r>
        <w:rPr>
          <w:rFonts w:ascii="Times New Roman" w:hAnsi="Times New Roman"/>
          <w:sz w:val="24"/>
          <w:szCs w:val="24"/>
        </w:rPr>
        <w:t xml:space="preserve"> dias, a contar do recebimento desta, para que informe expressamente se acatou esta Recomendação e quais as providências adotadas, ressaltando-se que o silêncio será entendido como não acatamento.</w:t>
      </w:r>
    </w:p>
    <w:p>
      <w:pPr>
        <w:pStyle w:val="Normal"/>
        <w:spacing w:lineRule="auto" w:line="360"/>
        <w:ind w:firstLine="1701"/>
        <w:jc w:val="both"/>
        <w:rPr>
          <w:rFonts w:ascii="Times New Roman" w:hAnsi="Times New Roman"/>
          <w:sz w:val="24"/>
          <w:szCs w:val="24"/>
        </w:rPr>
      </w:pPr>
      <w:r>
        <w:rPr>
          <w:rFonts w:ascii="Times New Roman" w:hAnsi="Times New Roman"/>
          <w:sz w:val="24"/>
          <w:szCs w:val="24"/>
        </w:rPr>
      </w:r>
    </w:p>
    <w:p>
      <w:pPr>
        <w:pStyle w:val="Normal"/>
        <w:spacing w:lineRule="auto" w:line="360"/>
        <w:jc w:val="center"/>
        <w:rPr>
          <w:rFonts w:ascii="Times New Roman" w:hAnsi="Times New Roman"/>
          <w:sz w:val="24"/>
          <w:szCs w:val="24"/>
          <w:highlight w:val="yellow"/>
        </w:rPr>
      </w:pPr>
      <w:r>
        <w:rPr>
          <w:rFonts w:ascii="Times New Roman" w:hAnsi="Times New Roman"/>
          <w:sz w:val="24"/>
          <w:szCs w:val="24"/>
          <w:highlight w:val="yellow"/>
        </w:rPr>
        <w:t>Cidade, data</w:t>
      </w:r>
    </w:p>
    <w:p>
      <w:pPr>
        <w:pStyle w:val="Normal"/>
        <w:spacing w:lineRule="auto" w:line="360"/>
        <w:jc w:val="center"/>
        <w:rPr>
          <w:rFonts w:ascii="Times New Roman" w:hAnsi="Times New Roman"/>
          <w:sz w:val="24"/>
          <w:szCs w:val="24"/>
        </w:rPr>
      </w:pPr>
      <w:r>
        <w:rPr>
          <w:rFonts w:ascii="Times New Roman" w:hAnsi="Times New Roman"/>
          <w:sz w:val="24"/>
          <w:szCs w:val="24"/>
          <w:highlight w:val="yellow"/>
        </w:rPr>
        <w:t>Assinaturas</w:t>
      </w:r>
    </w:p>
    <w:p>
      <w:pPr>
        <w:pStyle w:val="Normal"/>
        <w:spacing w:lineRule="auto" w:line="360" w:before="0" w:after="160"/>
        <w:ind w:firstLine="1701"/>
        <w:jc w:val="both"/>
        <w:rPr/>
      </w:pPr>
      <w:r>
        <w:rPr/>
      </w:r>
    </w:p>
    <w:sectPr>
      <w:headerReference w:type="default" r:id="rId2"/>
      <w:footerReference w:type="default" r:id="rId3"/>
      <w:footnotePr>
        <w:numFmt w:val="decimal"/>
      </w:footnotePr>
      <w:type w:val="nextPage"/>
      <w:pgSz w:w="11906" w:h="16838"/>
      <w:pgMar w:left="1701" w:right="1701" w:header="708" w:top="1417" w:footer="0" w:bottom="1417" w:gutter="0"/>
      <w:pgNumType w:fmt="decimal"/>
      <w:formProt w:val="false"/>
      <w:textDirection w:val="lrTb"/>
      <w:docGrid w:type="default" w:linePitch="360" w:charSpace="429496504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260214380"/>
    </w:sdtPr>
    <w:sdtContent>
      <w:p>
        <w:pPr>
          <w:pStyle w:val="Rodap"/>
          <w:jc w:val="right"/>
          <w:rPr/>
        </w:pPr>
        <w:r>
          <w:rPr>
            <w:rFonts w:ascii="Times New Roman" w:hAnsi="Times New Roman"/>
            <w:sz w:val="20"/>
            <w:szCs w:val="20"/>
          </w:rPr>
          <w:fldChar w:fldCharType="begin"/>
        </w:r>
        <w:r>
          <w:rPr>
            <w:sz w:val="20"/>
            <w:szCs w:val="20"/>
            <w:rFonts w:ascii="Times New Roman" w:hAnsi="Times New Roman"/>
          </w:rPr>
          <w:instrText> PAGE </w:instrText>
        </w:r>
        <w:r>
          <w:rPr>
            <w:sz w:val="20"/>
            <w:szCs w:val="20"/>
            <w:rFonts w:ascii="Times New Roman" w:hAnsi="Times New Roman"/>
          </w:rPr>
          <w:fldChar w:fldCharType="separate"/>
        </w:r>
        <w:r>
          <w:rPr>
            <w:sz w:val="20"/>
            <w:szCs w:val="20"/>
            <w:rFonts w:ascii="Times New Roman" w:hAnsi="Times New Roman"/>
          </w:rPr>
          <w:t>8</w:t>
        </w:r>
        <w:r>
          <w:rPr>
            <w:sz w:val="20"/>
            <w:szCs w:val="20"/>
            <w:rFonts w:ascii="Times New Roman" w:hAnsi="Times New Roman"/>
          </w:rPr>
          <w:fldChar w:fldCharType="end"/>
        </w:r>
      </w:p>
    </w:sdtContent>
  </w:sdt>
  <w:p>
    <w:pPr>
      <w:pStyle w:val="Rodap"/>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aderodap"/>
        <w:rPr>
          <w:rFonts w:ascii="Times New Roman" w:hAnsi="Times New Roman"/>
        </w:rPr>
      </w:pPr>
      <w:r>
        <w:rPr>
          <w:rStyle w:val="Caracteresdenotaderodap"/>
        </w:rPr>
        <w:footnoteRef/>
      </w:r>
      <w:r>
        <w:rPr>
          <w:rFonts w:ascii="Times New Roman" w:hAnsi="Times New Roman"/>
        </w:rPr>
        <w:t xml:space="preserve"> </w:t>
      </w:r>
      <w:r>
        <w:rPr>
          <w:rFonts w:ascii="Times New Roman" w:hAnsi="Times New Roman"/>
        </w:rPr>
        <w:t xml:space="preserve">A esse respeito, vejam-se os dados do IPCC – </w:t>
      </w:r>
      <w:r>
        <w:rPr>
          <w:rFonts w:ascii="Times New Roman" w:hAnsi="Times New Roman"/>
          <w:i/>
          <w:iCs/>
        </w:rPr>
        <w:t>Intergovernmental Panel on Climate Change</w:t>
      </w:r>
      <w:r>
        <w:rPr>
          <w:rFonts w:ascii="Times New Roman" w:hAnsi="Times New Roman"/>
        </w:rPr>
        <w:t>, criado pelas Nações Unidas para reunir os estudos científicos relacionados às mudanças climáticas, de modo a servir de guia para a tomada de decisão nos âmbitos político e econômico. Ver, em especial, o relatório especial sobre “Aquecimento Global de 1.5</w:t>
      </w:r>
      <w:r>
        <w:rPr>
          <w:rFonts w:ascii="Times New Roman" w:hAnsi="Times New Roman"/>
          <w:vertAlign w:val="superscript"/>
        </w:rPr>
        <w:t>o</w:t>
      </w:r>
      <w:r>
        <w:rPr>
          <w:rFonts w:ascii="Times New Roman" w:hAnsi="Times New Roman"/>
        </w:rPr>
        <w:t>C”, de 2018, disponível em: &lt;</w:t>
      </w:r>
      <w:hyperlink r:id="rId1">
        <w:r>
          <w:rPr>
            <w:rStyle w:val="LinkdaInternet"/>
            <w:rFonts w:ascii="Times New Roman" w:hAnsi="Times New Roman"/>
          </w:rPr>
          <w:t>https://www.ipcc.ch/sr15/</w:t>
        </w:r>
      </w:hyperlink>
      <w:r>
        <w:rPr>
          <w:rFonts w:ascii="Times New Roman" w:hAnsi="Times New Roman"/>
        </w:rPr>
        <w:t>&gt;.</w:t>
      </w:r>
    </w:p>
    <w:p>
      <w:pPr>
        <w:pStyle w:val="Notaderodap"/>
        <w:rPr>
          <w:rFonts w:ascii="Times New Roman" w:hAnsi="Times New Roman"/>
        </w:rPr>
      </w:pPr>
      <w:r>
        <w:rPr>
          <w:rFonts w:ascii="Times New Roman" w:hAnsi="Times New Roman"/>
        </w:rPr>
      </w:r>
    </w:p>
    <w:p>
      <w:pPr>
        <w:pStyle w:val="Notaderodap"/>
        <w:jc w:val="both"/>
        <w:rPr>
          <w:rFonts w:ascii="Times New Roman" w:hAnsi="Times New Roman"/>
        </w:rPr>
      </w:pPr>
      <w:r>
        <w:rPr>
          <w:rFonts w:ascii="Times New Roman" w:hAnsi="Times New Roman"/>
        </w:rPr>
        <w:t>No Brasil, o Sistema de Estimativas de Emissões e Remoções de Gases de Efeito Estufa (SEEG) produz estimativas anuais das emissões de gases de efeito estufa (GEE) no Brasil, geradas segundo as diretrizes do Painel Intergovernamental sobre Mudanças Climáticas (IPCC), com base na metodologia dos Inventários Brasileiros de Emissões e Remoções Antrópicas de Gases do Efeito Estufa, elaborado pelo Ministério da Ciência, Tecnologia e Inovação (MCTI), e em dados obtidos junto a relatórios governamentais, institutos, centros de pesquisa, entidades setoriais e organizações não governamentais. Para mais informações, ver: &lt;</w:t>
      </w:r>
      <w:hyperlink r:id="rId2">
        <w:r>
          <w:rPr>
            <w:rStyle w:val="LinkdaInternet"/>
            <w:rFonts w:ascii="Times New Roman" w:hAnsi="Times New Roman"/>
          </w:rPr>
          <w:t>http://seeg.eco.br</w:t>
        </w:r>
      </w:hyperlink>
      <w:r>
        <w:rPr>
          <w:rFonts w:ascii="Times New Roman" w:hAnsi="Times New Roman"/>
        </w:rPr>
        <w:t>&gt;.</w:t>
      </w:r>
    </w:p>
    <w:p>
      <w:pPr>
        <w:pStyle w:val="Notaderodap"/>
        <w:jc w:val="both"/>
        <w:rPr>
          <w:rFonts w:ascii="Times New Roman" w:hAnsi="Times New Roman"/>
        </w:rPr>
      </w:pPr>
      <w:r>
        <w:rPr>
          <w:rFonts w:ascii="Times New Roman" w:hAnsi="Times New Roman"/>
        </w:rPr>
      </w:r>
    </w:p>
    <w:p>
      <w:pPr>
        <w:pStyle w:val="Notaderodap"/>
        <w:jc w:val="both"/>
        <w:rPr>
          <w:rFonts w:ascii="Times New Roman" w:hAnsi="Times New Roman"/>
        </w:rPr>
      </w:pPr>
      <w:r>
        <w:rPr>
          <w:rFonts w:ascii="Times New Roman" w:hAnsi="Times New Roman"/>
        </w:rPr>
        <w:t xml:space="preserve">A existência de consenso científico em torno da questão climática é, frequentemente, é travestida de controvérsia, porém sem razão. </w:t>
      </w:r>
      <w:r>
        <w:rPr>
          <w:rFonts w:ascii="Times New Roman" w:hAnsi="Times New Roman"/>
          <w:lang w:val="en-US"/>
        </w:rPr>
        <w:t xml:space="preserve">A respeito, vejam-se: POWELL, James. “Scientists Reach 100% Consensus on Anthropogenic Global Warming”. </w:t>
      </w:r>
      <w:r>
        <w:rPr>
          <w:rFonts w:ascii="Times New Roman" w:hAnsi="Times New Roman"/>
          <w:i/>
          <w:iCs/>
          <w:lang w:val="en-US"/>
        </w:rPr>
        <w:t>Bulletin of Science, Technology and Society</w:t>
      </w:r>
      <w:r>
        <w:rPr>
          <w:rFonts w:ascii="Times New Roman" w:hAnsi="Times New Roman"/>
          <w:lang w:val="en-US"/>
        </w:rPr>
        <w:t>. University of North Florida. Vol. 37, n. 4, p. 183. Disponível em: &lt;</w:t>
      </w:r>
      <w:hyperlink r:id="rId3">
        <w:r>
          <w:rPr>
            <w:rStyle w:val="LinkdaInternet"/>
            <w:rFonts w:ascii="Times New Roman" w:hAnsi="Times New Roman"/>
            <w:lang w:val="en-US"/>
          </w:rPr>
          <w:t>https://journals.sagepub.com/doi/abs/10.1177/0270467619886266?journalCode=bsta</w:t>
        </w:r>
      </w:hyperlink>
      <w:r>
        <w:rPr>
          <w:rStyle w:val="LinkdaInternet"/>
          <w:rFonts w:ascii="Times New Roman" w:hAnsi="Times New Roman"/>
          <w:lang w:val="en-US"/>
        </w:rPr>
        <w:t>&gt;</w:t>
      </w:r>
      <w:r>
        <w:rPr>
          <w:rStyle w:val="LinkdaInternet"/>
          <w:rFonts w:ascii="Times New Roman" w:hAnsi="Times New Roman"/>
          <w:u w:val="none"/>
          <w:lang w:val="en-US"/>
        </w:rPr>
        <w:t xml:space="preserve"> </w:t>
      </w:r>
      <w:r>
        <w:rPr>
          <w:rFonts w:ascii="Times New Roman" w:hAnsi="Times New Roman"/>
          <w:lang w:val="en-US"/>
        </w:rPr>
        <w:t xml:space="preserve">e ORESKES, Naomi; CONWAY, Erik M. </w:t>
      </w:r>
      <w:r>
        <w:rPr>
          <w:rFonts w:ascii="Times New Roman" w:hAnsi="Times New Roman"/>
          <w:i/>
          <w:iCs/>
          <w:lang w:val="en-US"/>
        </w:rPr>
        <w:t>Merchants of Doubt</w:t>
      </w:r>
      <w:r>
        <w:rPr>
          <w:rFonts w:ascii="Times New Roman" w:hAnsi="Times New Roman"/>
          <w:lang w:val="en-US"/>
        </w:rPr>
        <w:t xml:space="preserve">. </w:t>
      </w:r>
      <w:r>
        <w:rPr>
          <w:rFonts w:ascii="Times New Roman" w:hAnsi="Times New Roman"/>
        </w:rPr>
        <w:t>Londres: Bloomsbury Press, 2010.</w:t>
      </w:r>
    </w:p>
    <w:p>
      <w:pPr>
        <w:pStyle w:val="Notaderodap"/>
        <w:spacing w:before="0" w:after="160"/>
        <w:jc w:val="both"/>
        <w:rPr/>
      </w:pPr>
      <w:r>
        <w:rPr/>
      </w:r>
    </w:p>
  </w:footnote>
  <w:footnote w:id="3">
    <w:p>
      <w:pPr>
        <w:pStyle w:val="Notaderodap"/>
        <w:spacing w:before="0" w:after="160"/>
        <w:jc w:val="both"/>
        <w:rPr/>
      </w:pPr>
      <w:r>
        <w:rPr>
          <w:rStyle w:val="Caracteresdenotaderodap"/>
        </w:rPr>
        <w:footnoteRef/>
      </w:r>
      <w:r>
        <w:rPr>
          <w:rFonts w:ascii="Times New Roman" w:hAnsi="Times New Roman"/>
        </w:rPr>
        <w:t xml:space="preserve"> </w:t>
      </w:r>
      <w:r>
        <w:rPr>
          <w:rFonts w:ascii="Times New Roman" w:hAnsi="Times New Roman"/>
        </w:rPr>
        <w:t xml:space="preserve">ARTAXO, Paulo; RODRIGUES, Délcio. “As bases científicas das mudanças climáticas”. </w:t>
      </w:r>
      <w:r>
        <w:rPr>
          <w:rFonts w:ascii="Times New Roman" w:hAnsi="Times New Roman"/>
          <w:i/>
          <w:iCs/>
        </w:rPr>
        <w:t xml:space="preserve">In: </w:t>
      </w:r>
      <w:r>
        <w:rPr>
          <w:rFonts w:ascii="Times New Roman" w:hAnsi="Times New Roman"/>
        </w:rPr>
        <w:t xml:space="preserve">SETZER, Joana et. al. (org). </w:t>
      </w:r>
      <w:r>
        <w:rPr>
          <w:rFonts w:ascii="Times New Roman" w:hAnsi="Times New Roman"/>
          <w:i/>
          <w:iCs/>
        </w:rPr>
        <w:t>Litigância climática – novas fronteiras para o direito ambiental no Brasil</w:t>
      </w:r>
      <w:r>
        <w:rPr>
          <w:rFonts w:ascii="Times New Roman" w:hAnsi="Times New Roman"/>
        </w:rPr>
        <w:t>. São Paulo: Thomson Reuters Brasil, 2019. p. 47-48</w:t>
      </w:r>
    </w:p>
  </w:footnote>
  <w:footnote w:id="4">
    <w:p>
      <w:pPr>
        <w:pStyle w:val="Notaderodap"/>
        <w:tabs>
          <w:tab w:val="clear" w:pos="708"/>
          <w:tab w:val="left" w:pos="284" w:leader="none"/>
        </w:tabs>
        <w:jc w:val="both"/>
        <w:rPr>
          <w:rFonts w:ascii="Times New Roman" w:hAnsi="Times New Roman"/>
        </w:rPr>
      </w:pPr>
      <w:r>
        <w:rPr>
          <w:rStyle w:val="Caracteresdenotaderodap"/>
        </w:rPr>
        <w:footnoteRef/>
      </w:r>
      <w:r>
        <w:rPr>
          <w:rFonts w:ascii="Times New Roman" w:hAnsi="Times New Roman"/>
        </w:rPr>
        <w:t xml:space="preserve"> </w:t>
      </w:r>
      <w:r>
        <w:rPr>
          <w:rFonts w:ascii="Times New Roman" w:hAnsi="Times New Roman"/>
        </w:rPr>
        <w:t xml:space="preserve">Sobre o tema, ver: ALLEN, Toph </w:t>
      </w:r>
      <w:r>
        <w:rPr>
          <w:rFonts w:ascii="Times New Roman" w:hAnsi="Times New Roman"/>
          <w:i/>
        </w:rPr>
        <w:t>et al</w:t>
      </w:r>
      <w:r>
        <w:rPr>
          <w:rFonts w:ascii="Times New Roman" w:hAnsi="Times New Roman"/>
        </w:rPr>
        <w:t xml:space="preserve">. </w:t>
      </w:r>
      <w:r>
        <w:rPr>
          <w:rFonts w:ascii="Times New Roman" w:hAnsi="Times New Roman"/>
          <w:lang w:val="en-US"/>
        </w:rPr>
        <w:t xml:space="preserve">Global hotspots and correlates of emerging zoonotic diseases”. </w:t>
      </w:r>
      <w:r>
        <w:rPr>
          <w:rFonts w:ascii="Times New Roman" w:hAnsi="Times New Roman"/>
          <w:b/>
          <w:lang w:val="en-US"/>
        </w:rPr>
        <w:t>Nature Communications</w:t>
      </w:r>
      <w:r>
        <w:rPr>
          <w:rFonts w:ascii="Times New Roman" w:hAnsi="Times New Roman"/>
          <w:lang w:val="en-US"/>
        </w:rPr>
        <w:t xml:space="preserve"> 8: 1124, 2017; </w:t>
      </w:r>
      <w:r>
        <w:rPr>
          <w:rFonts w:ascii="Times New Roman" w:hAnsi="Times New Roman"/>
          <w:color w:val="000000"/>
          <w:lang w:val="en-US"/>
        </w:rPr>
        <w:t xml:space="preserve">SETTELE, Josef; DÍAZ, Sandra; BRONDIZIO, Eduardo. COVID-19 Stimulus Measures Must Save Lives, Protect Livelihoods, and Safeguard Nature to Reduce the Risk of Future Pandemics. </w:t>
      </w:r>
      <w:r>
        <w:rPr>
          <w:rFonts w:ascii="Times New Roman" w:hAnsi="Times New Roman"/>
          <w:color w:val="000000"/>
        </w:rPr>
        <w:t>Disponível em: &lt;</w:t>
      </w:r>
      <w:hyperlink r:id="rId4">
        <w:r>
          <w:rPr>
            <w:rStyle w:val="LinkdaInternet"/>
            <w:rFonts w:ascii="Times New Roman" w:hAnsi="Times New Roman"/>
          </w:rPr>
          <w:t>https://ipbes.net/covid19stimulus</w:t>
        </w:r>
      </w:hyperlink>
      <w:r>
        <w:rPr>
          <w:rFonts w:ascii="Times New Roman" w:hAnsi="Times New Roman"/>
          <w:color w:val="000000"/>
        </w:rPr>
        <w:t xml:space="preserve">&gt;; DOSHI, Sahir; GENTILE, Nicole. </w:t>
      </w:r>
      <w:r>
        <w:rPr>
          <w:rFonts w:ascii="Times New Roman" w:hAnsi="Times New Roman"/>
          <w:color w:val="000000"/>
          <w:lang w:val="en-US"/>
        </w:rPr>
        <w:t xml:space="preserve">“When confronting a pandemic, we must save nature to save ourselves”. </w:t>
      </w:r>
      <w:r>
        <w:rPr>
          <w:rFonts w:ascii="Times New Roman" w:hAnsi="Times New Roman"/>
          <w:color w:val="000000"/>
        </w:rPr>
        <w:t>Disponível em:</w:t>
      </w:r>
    </w:p>
    <w:p>
      <w:pPr>
        <w:pStyle w:val="Notaderodap"/>
        <w:jc w:val="both"/>
        <w:rPr>
          <w:rFonts w:ascii="Times New Roman" w:hAnsi="Times New Roman"/>
          <w:color w:val="000000"/>
        </w:rPr>
      </w:pPr>
      <w:r>
        <w:rPr>
          <w:rFonts w:ascii="Times New Roman" w:hAnsi="Times New Roman"/>
          <w:color w:val="000000"/>
        </w:rPr>
        <w:t>&lt;</w:t>
      </w:r>
      <w:hyperlink r:id="rId5">
        <w:r>
          <w:rPr>
            <w:rStyle w:val="LinkdaInternet"/>
            <w:rFonts w:ascii="Times New Roman" w:hAnsi="Times New Roman"/>
          </w:rPr>
          <w:t>https://www.americanprogress.org/issues/green/reports/2020/04/20/483455/confronting-pandemic-must-save-nature-save/</w:t>
        </w:r>
      </w:hyperlink>
      <w:r>
        <w:rPr>
          <w:rFonts w:ascii="Times New Roman" w:hAnsi="Times New Roman"/>
          <w:color w:val="000000"/>
        </w:rPr>
        <w:t>&gt;.</w:t>
      </w:r>
    </w:p>
    <w:p>
      <w:pPr>
        <w:pStyle w:val="Notaderodap"/>
        <w:spacing w:before="0" w:after="160"/>
        <w:jc w:val="both"/>
        <w:rPr/>
      </w:pPr>
      <w:r>
        <w:rPr/>
      </w:r>
    </w:p>
  </w:footnote>
  <w:footnote w:id="5">
    <w:p>
      <w:pPr>
        <w:pStyle w:val="Notaderodap"/>
        <w:jc w:val="both"/>
        <w:rPr>
          <w:rFonts w:ascii="Times New Roman" w:hAnsi="Times New Roman"/>
        </w:rPr>
      </w:pPr>
      <w:r>
        <w:rPr>
          <w:rStyle w:val="Caracteresdenotaderodap"/>
        </w:rPr>
        <w:footnoteRef/>
      </w:r>
      <w:r>
        <w:rPr>
          <w:rFonts w:ascii="Times New Roman" w:hAnsi="Times New Roman"/>
        </w:rPr>
        <w:t xml:space="preserve"> </w:t>
      </w:r>
      <w:r>
        <w:rPr>
          <w:rFonts w:ascii="Times New Roman" w:hAnsi="Times New Roman"/>
        </w:rPr>
        <w:t>Sobre as migrações forçadas pelas mudanças climáticas, veja-se o estudo conduzido pelo Banco Mundial, disponível em: &lt;</w:t>
      </w:r>
      <w:hyperlink r:id="rId6">
        <w:r>
          <w:rPr>
            <w:rStyle w:val="LinkdaInternet"/>
            <w:rFonts w:ascii="Times New Roman" w:hAnsi="Times New Roman"/>
          </w:rPr>
          <w:t>https://www.worldbank.org/en/news/press-release/2018/03/19/climate-change-could-force-over-140-million-to-migrate-within-countries-by-2050-world-bank-report</w:t>
        </w:r>
      </w:hyperlink>
      <w:r>
        <w:rPr>
          <w:rFonts w:ascii="Times New Roman" w:hAnsi="Times New Roman"/>
        </w:rPr>
        <w:t>&gt;.</w:t>
      </w:r>
    </w:p>
    <w:p>
      <w:pPr>
        <w:pStyle w:val="Notaderodap"/>
        <w:spacing w:before="0" w:after="160"/>
        <w:jc w:val="both"/>
        <w:rPr/>
      </w:pPr>
      <w:r>
        <w:rPr/>
      </w:r>
    </w:p>
  </w:footnote>
  <w:footnote w:id="6">
    <w:p>
      <w:pPr>
        <w:pStyle w:val="Notaderodap"/>
        <w:jc w:val="both"/>
        <w:rPr>
          <w:rFonts w:ascii="Times New Roman" w:hAnsi="Times New Roman"/>
        </w:rPr>
      </w:pPr>
      <w:r>
        <w:rPr>
          <w:rStyle w:val="Caracteresdenotaderodap"/>
        </w:rPr>
        <w:footnoteRef/>
      </w:r>
      <w:r>
        <w:rPr>
          <w:rFonts w:ascii="Times New Roman" w:hAnsi="Times New Roman"/>
        </w:rPr>
        <w:t xml:space="preserve"> </w:t>
      </w:r>
      <w:r>
        <w:rPr>
          <w:rFonts w:ascii="Times New Roman" w:hAnsi="Times New Roman"/>
        </w:rPr>
        <w:t>O texto do Acordo de Paris, em português, encontra-se disponível em: &lt;</w:t>
      </w:r>
      <w:hyperlink r:id="rId7">
        <w:r>
          <w:rPr>
            <w:rStyle w:val="LinkdaInternet"/>
            <w:rFonts w:ascii="Times New Roman" w:hAnsi="Times New Roman"/>
          </w:rPr>
          <w:t>http://www.br.undp.org/content/dam/brazil/docs/ODS/undp-br-ods-ParisAgreement.pdf</w:t>
        </w:r>
      </w:hyperlink>
      <w:r>
        <w:rPr>
          <w:rFonts w:ascii="Times New Roman" w:hAnsi="Times New Roman"/>
        </w:rPr>
        <w:t>&gt;.</w:t>
      </w:r>
    </w:p>
    <w:p>
      <w:pPr>
        <w:pStyle w:val="Notaderodap"/>
        <w:spacing w:before="0" w:after="160"/>
        <w:jc w:val="both"/>
        <w:rPr/>
      </w:pPr>
      <w:r>
        <w:rPr/>
      </w:r>
    </w:p>
  </w:footnote>
  <w:footnote w:id="7">
    <w:p>
      <w:pPr>
        <w:pStyle w:val="Notaderodap"/>
        <w:jc w:val="both"/>
        <w:rPr>
          <w:rFonts w:ascii="Times New Roman" w:hAnsi="Times New Roman"/>
        </w:rPr>
      </w:pPr>
      <w:r>
        <w:rPr>
          <w:rStyle w:val="Caracteresdenotaderodap"/>
        </w:rPr>
        <w:footnoteRef/>
      </w:r>
      <w:r>
        <w:rPr>
          <w:rFonts w:ascii="Times New Roman" w:hAnsi="Times New Roman"/>
        </w:rPr>
        <w:t xml:space="preserve"> </w:t>
      </w:r>
      <w:r>
        <w:rPr>
          <w:rFonts w:ascii="Times New Roman" w:hAnsi="Times New Roman"/>
        </w:rPr>
        <w:t>Nos termos do relatório do Met Office, um dos mais tradicionais serviços de meteorologia do mundo, disponível em: &lt;</w:t>
      </w:r>
      <w:hyperlink r:id="rId8">
        <w:r>
          <w:rPr>
            <w:rStyle w:val="LinkdaInternet"/>
            <w:rFonts w:ascii="Times New Roman" w:hAnsi="Times New Roman"/>
          </w:rPr>
          <w:t>https://www.metoffice.gov.uk/research/news/2015/global-average-temperature-2015</w:t>
        </w:r>
      </w:hyperlink>
      <w:r>
        <w:rPr>
          <w:rFonts w:ascii="Times New Roman" w:hAnsi="Times New Roman"/>
        </w:rPr>
        <w:t>&gt;.</w:t>
      </w:r>
    </w:p>
    <w:p>
      <w:pPr>
        <w:pStyle w:val="Notaderodap"/>
        <w:spacing w:before="0" w:after="160"/>
        <w:jc w:val="both"/>
        <w:rPr/>
      </w:pPr>
      <w:r>
        <w:rPr/>
      </w:r>
    </w:p>
  </w:footnote>
  <w:footnote w:id="8">
    <w:p>
      <w:pPr>
        <w:pStyle w:val="Notaderodap"/>
        <w:spacing w:before="0" w:after="160"/>
        <w:jc w:val="both"/>
        <w:rPr/>
      </w:pPr>
      <w:r>
        <w:rPr>
          <w:rStyle w:val="Caracteresdenotaderodap"/>
        </w:rPr>
        <w:footnoteRef/>
      </w:r>
      <w:r>
        <w:rPr>
          <w:rFonts w:ascii="Times New Roman" w:hAnsi="Times New Roman"/>
        </w:rPr>
        <w:t xml:space="preserve"> </w:t>
      </w:r>
      <w:r>
        <w:rPr>
          <w:rFonts w:ascii="Times New Roman" w:hAnsi="Times New Roman"/>
        </w:rPr>
        <w:t xml:space="preserve">ABRAMOVAY, Ricardo. Prefácio. </w:t>
      </w:r>
      <w:r>
        <w:rPr>
          <w:rFonts w:ascii="Times New Roman" w:hAnsi="Times New Roman"/>
          <w:i/>
          <w:iCs/>
        </w:rPr>
        <w:t>Guia da Litigância Climática.</w:t>
      </w:r>
      <w:r>
        <w:rPr>
          <w:rFonts w:ascii="Times New Roman" w:hAnsi="Times New Roman"/>
        </w:rPr>
        <w:t xml:space="preserve"> Conectas Direitos Humanos, 2019. p. 7.</w:t>
      </w:r>
    </w:p>
  </w:footnote>
  <w:footnote w:id="9">
    <w:p>
      <w:pPr>
        <w:pStyle w:val="Notaderodap"/>
        <w:spacing w:before="0" w:after="160"/>
        <w:jc w:val="both"/>
        <w:rPr/>
      </w:pPr>
      <w:r>
        <w:rPr>
          <w:rStyle w:val="Caracteresdenotaderodap"/>
        </w:rPr>
        <w:footnoteRef/>
      </w:r>
      <w:r>
        <w:rPr>
          <w:rFonts w:ascii="Times New Roman" w:hAnsi="Times New Roman"/>
        </w:rPr>
        <w:t xml:space="preserve"> </w:t>
      </w:r>
      <w:r>
        <w:rPr>
          <w:rFonts w:ascii="Times New Roman" w:hAnsi="Times New Roman"/>
        </w:rPr>
        <w:t>Veja-se: &lt;</w:t>
      </w:r>
      <w:hyperlink r:id="rId9">
        <w:r>
          <w:rPr>
            <w:rStyle w:val="LinkdaInternet"/>
            <w:rFonts w:ascii="Times New Roman" w:hAnsi="Times New Roman"/>
          </w:rPr>
          <w:t>https://www.mma.gov.br/clima/convencao-das-nacoes-unidas/acordo-de-paris</w:t>
        </w:r>
      </w:hyperlink>
      <w:r>
        <w:rPr>
          <w:rFonts w:ascii="Times New Roman" w:hAnsi="Times New Roman"/>
        </w:rPr>
        <w:t>&gt;</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tabs>
        <w:tab w:val="left" w:pos="2775" w:leader="none"/>
        <w:tab w:val="center" w:pos="4252" w:leader="none"/>
        <w:tab w:val="right" w:pos="8504" w:leader="none"/>
      </w:tabs>
      <w:rPr/>
    </w:pPr>
    <w:r>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b/>
        <w:bCs/>
        <w:rFonts w:ascii="Times New Roman" w:hAnsi="Times New Roman"/>
      </w:rPr>
    </w:lvl>
    <w:lvl w:ilvl="1">
      <w:start w:val="1"/>
      <w:numFmt w:val="decimal"/>
      <w:lvlText w:val="%1.%2."/>
      <w:lvlJc w:val="left"/>
      <w:pPr>
        <w:ind w:left="1200" w:hanging="480"/>
      </w:pPr>
      <w:rPr>
        <w:b/>
        <w:bCs/>
        <w:rFonts w:ascii="Times New Roman" w:hAnsi="Times New Roman"/>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4"/>
        <w:lang w:val="pt-B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d3d0a"/>
    <w:pPr>
      <w:widowControl/>
      <w:bidi w:val="0"/>
      <w:spacing w:lineRule="auto" w:line="259" w:before="0" w:after="160"/>
      <w:jc w:val="left"/>
    </w:pPr>
    <w:rPr>
      <w:rFonts w:cs="Times New Roman" w:ascii="Calibri" w:hAnsi="Calibri" w:eastAsia="Calibri" w:asciiTheme="minorHAnsi" w:eastAsiaTheme="minorHAnsi" w:hAnsiTheme="minorHAnsi"/>
      <w:color w:val="auto"/>
      <w:kern w:val="0"/>
      <w:sz w:val="22"/>
      <w:szCs w:val="22"/>
      <w:lang w:val="pt-BR" w:eastAsia="en-US" w:bidi="ar-SA"/>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link w:val="Cabealho"/>
    <w:uiPriority w:val="99"/>
    <w:qFormat/>
    <w:rsid w:val="000d3d0a"/>
    <w:rPr>
      <w:rFonts w:ascii="Calibri" w:hAnsi="Calibri" w:eastAsia="Calibri" w:cs="Times New Roman"/>
      <w:sz w:val="22"/>
      <w:szCs w:val="22"/>
    </w:rPr>
  </w:style>
  <w:style w:type="character" w:styleId="LinkdaInternet">
    <w:name w:val="Link da Internet"/>
    <w:basedOn w:val="DefaultParagraphFont"/>
    <w:unhideWhenUsed/>
    <w:rsid w:val="005c034b"/>
    <w:rPr>
      <w:color w:val="0563C1" w:themeColor="hyperlink"/>
      <w:u w:val="single"/>
    </w:rPr>
  </w:style>
  <w:style w:type="character" w:styleId="TextodenotaderodapChar" w:customStyle="1">
    <w:name w:val="Texto de nota de rodapé Char"/>
    <w:basedOn w:val="DefaultParagraphFont"/>
    <w:link w:val="Textodenotaderodap"/>
    <w:uiPriority w:val="99"/>
    <w:semiHidden/>
    <w:qFormat/>
    <w:rsid w:val="000d3d0a"/>
    <w:rPr>
      <w:rFonts w:ascii="Calibri" w:hAnsi="Calibri" w:eastAsia="Calibri" w:cs="Times New Roman"/>
      <w:sz w:val="20"/>
      <w:szCs w:val="20"/>
    </w:rPr>
  </w:style>
  <w:style w:type="character" w:styleId="Ncoradanotaderodap" w:customStyle="1">
    <w:name w:val="Âncora da nota de rodapé"/>
    <w:rPr>
      <w:vertAlign w:val="superscript"/>
    </w:rPr>
  </w:style>
  <w:style w:type="character" w:styleId="FootnoteCharacters" w:customStyle="1">
    <w:name w:val="Footnote Characters"/>
    <w:qFormat/>
    <w:rsid w:val="00666b84"/>
    <w:rPr/>
  </w:style>
  <w:style w:type="character" w:styleId="Fontepargpadro3" w:customStyle="1">
    <w:name w:val="Fonte parág. padrão3"/>
    <w:qFormat/>
    <w:rsid w:val="00a9418f"/>
    <w:rPr/>
  </w:style>
  <w:style w:type="character" w:styleId="Caracteresdenotaderodap" w:customStyle="1">
    <w:name w:val="Caracteres de nota de rodapé"/>
    <w:qFormat/>
    <w:rsid w:val="00a9418f"/>
    <w:rPr>
      <w:vertAlign w:val="superscript"/>
    </w:rPr>
  </w:style>
  <w:style w:type="character" w:styleId="Nfase">
    <w:name w:val="Ênfase"/>
    <w:uiPriority w:val="20"/>
    <w:qFormat/>
    <w:rsid w:val="00a9418f"/>
    <w:rPr>
      <w:i/>
      <w:iCs/>
    </w:rPr>
  </w:style>
  <w:style w:type="character" w:styleId="CorpodetextoChar" w:customStyle="1">
    <w:name w:val="Corpo de texto Char"/>
    <w:basedOn w:val="DefaultParagraphFont"/>
    <w:link w:val="Corpodetexto"/>
    <w:qFormat/>
    <w:rsid w:val="00a9418f"/>
    <w:rPr>
      <w:rFonts w:ascii="Times New Roman" w:hAnsi="Times New Roman" w:eastAsia="Times New Roman" w:cs="Times New Roman"/>
      <w:b/>
      <w:sz w:val="28"/>
      <w:szCs w:val="20"/>
      <w:lang w:eastAsia="zh-CN"/>
    </w:rPr>
  </w:style>
  <w:style w:type="character" w:styleId="Refdenotaderodap2" w:customStyle="1">
    <w:name w:val="Ref. de nota de rodapé2"/>
    <w:qFormat/>
    <w:rsid w:val="00666b84"/>
    <w:rPr>
      <w:vertAlign w:val="superscript"/>
    </w:rPr>
  </w:style>
  <w:style w:type="character" w:styleId="Fontepargpadro1" w:customStyle="1">
    <w:name w:val="Fonte parág. padrão1"/>
    <w:qFormat/>
    <w:rsid w:val="00666b84"/>
    <w:rPr/>
  </w:style>
  <w:style w:type="character" w:styleId="WWRefdenotaderodap" w:customStyle="1">
    <w:name w:val="WW-Ref. de nota de rodapé"/>
    <w:qFormat/>
    <w:rsid w:val="003f398f"/>
    <w:rPr>
      <w:vertAlign w:val="superscript"/>
    </w:rPr>
  </w:style>
  <w:style w:type="character" w:styleId="ListLabel1" w:customStyle="1">
    <w:name w:val="ListLabel 1"/>
    <w:qFormat/>
    <w:rPr>
      <w:b/>
      <w:bCs/>
    </w:rPr>
  </w:style>
  <w:style w:type="character" w:styleId="ListLabel2" w:customStyle="1">
    <w:name w:val="ListLabel 2"/>
    <w:qFormat/>
    <w:rPr>
      <w:rFonts w:eastAsia="Calibri" w:cs="Al Bayan Plain"/>
    </w:rPr>
  </w:style>
  <w:style w:type="character" w:styleId="ListLabel3" w:customStyle="1">
    <w:name w:val="ListLabel 3"/>
    <w:qFormat/>
    <w:rPr>
      <w:rFonts w:cs="Courier New"/>
    </w:rPr>
  </w:style>
  <w:style w:type="character" w:styleId="Ncoradanotadefim" w:customStyle="1">
    <w:name w:val="Âncora da nota de fim"/>
    <w:rPr>
      <w:vertAlign w:val="superscript"/>
    </w:rPr>
  </w:style>
  <w:style w:type="character" w:styleId="Caracteresdenotadefim" w:customStyle="1">
    <w:name w:val="Caracteres de nota de fim"/>
    <w:qFormat/>
    <w:rPr/>
  </w:style>
  <w:style w:type="character" w:styleId="TextodebaloChar" w:customStyle="1">
    <w:name w:val="Texto de balão Char"/>
    <w:basedOn w:val="DefaultParagraphFont"/>
    <w:link w:val="Textodebalo"/>
    <w:uiPriority w:val="99"/>
    <w:semiHidden/>
    <w:qFormat/>
    <w:rsid w:val="009328e3"/>
    <w:rPr>
      <w:rFonts w:ascii="Times New Roman" w:hAnsi="Times New Roman" w:cs="Times New Roman"/>
      <w:sz w:val="18"/>
      <w:szCs w:val="18"/>
    </w:rPr>
  </w:style>
  <w:style w:type="character" w:styleId="RodapChar" w:customStyle="1">
    <w:name w:val="Rodapé Char"/>
    <w:basedOn w:val="DefaultParagraphFont"/>
    <w:link w:val="Rodap"/>
    <w:uiPriority w:val="99"/>
    <w:qFormat/>
    <w:rsid w:val="00d645e9"/>
    <w:rPr>
      <w:rFonts w:cs="Times New Roman"/>
      <w:sz w:val="22"/>
      <w:szCs w:val="22"/>
    </w:rPr>
  </w:style>
  <w:style w:type="character" w:styleId="Strong">
    <w:name w:val="Strong"/>
    <w:basedOn w:val="DefaultParagraphFont"/>
    <w:uiPriority w:val="22"/>
    <w:qFormat/>
    <w:rsid w:val="003c34fb"/>
    <w:rPr>
      <w:b/>
      <w:bCs/>
    </w:rPr>
  </w:style>
  <w:style w:type="character" w:styleId="Annotationreference">
    <w:name w:val="annotation reference"/>
    <w:basedOn w:val="DefaultParagraphFont"/>
    <w:uiPriority w:val="99"/>
    <w:semiHidden/>
    <w:unhideWhenUsed/>
    <w:qFormat/>
    <w:rsid w:val="00867f0e"/>
    <w:rPr>
      <w:sz w:val="16"/>
      <w:szCs w:val="16"/>
    </w:rPr>
  </w:style>
  <w:style w:type="character" w:styleId="TextodecomentrioChar" w:customStyle="1">
    <w:name w:val="Texto de comentário Char"/>
    <w:basedOn w:val="DefaultParagraphFont"/>
    <w:link w:val="Textodecomentrio"/>
    <w:uiPriority w:val="99"/>
    <w:qFormat/>
    <w:rsid w:val="00867f0e"/>
    <w:rPr>
      <w:rFonts w:cs="Times New Roman"/>
      <w:szCs w:val="20"/>
    </w:rPr>
  </w:style>
  <w:style w:type="character" w:styleId="AssuntodocomentrioChar" w:customStyle="1">
    <w:name w:val="Assunto do comentário Char"/>
    <w:basedOn w:val="TextodecomentrioChar"/>
    <w:link w:val="Assuntodocomentrio"/>
    <w:uiPriority w:val="99"/>
    <w:semiHidden/>
    <w:qFormat/>
    <w:rsid w:val="00867f0e"/>
    <w:rPr>
      <w:rFonts w:cs="Times New Roman"/>
      <w:b/>
      <w:bCs/>
      <w:szCs w:val="20"/>
    </w:rPr>
  </w:style>
  <w:style w:type="character" w:styleId="MenoPendente1" w:customStyle="1">
    <w:name w:val="Menção Pendente1"/>
    <w:basedOn w:val="DefaultParagraphFont"/>
    <w:uiPriority w:val="99"/>
    <w:semiHidden/>
    <w:unhideWhenUsed/>
    <w:qFormat/>
    <w:rsid w:val="005c034b"/>
    <w:rPr>
      <w:color w:val="605E5C"/>
      <w:shd w:fill="E1DFDD" w:val="clear"/>
    </w:rPr>
  </w:style>
  <w:style w:type="character" w:styleId="SubttuloChar" w:customStyle="1">
    <w:name w:val="Subtítulo Char"/>
    <w:basedOn w:val="DefaultParagraphFont"/>
    <w:link w:val="Subttulo"/>
    <w:uiPriority w:val="11"/>
    <w:qFormat/>
    <w:rsid w:val="00854a0a"/>
    <w:rPr>
      <w:rFonts w:ascii="Times New Roman" w:hAnsi="Times New Roman" w:eastAsia="" w:cs="Times New Roman (Corpo CS)" w:eastAsiaTheme="minorEastAsia"/>
      <w:b/>
      <w:spacing w:val="15"/>
      <w:sz w:val="24"/>
      <w:szCs w:val="22"/>
      <w:lang w:eastAsia="pt-BR"/>
    </w:rPr>
  </w:style>
  <w:style w:type="character" w:styleId="FollowedHyperlink">
    <w:name w:val="FollowedHyperlink"/>
    <w:basedOn w:val="DefaultParagraphFont"/>
    <w:uiPriority w:val="99"/>
    <w:semiHidden/>
    <w:unhideWhenUsed/>
    <w:qFormat/>
    <w:rsid w:val="001d1e90"/>
    <w:rPr>
      <w:color w:val="954F72" w:themeColor="followedHyperlink"/>
      <w:u w:val="single"/>
    </w:rPr>
  </w:style>
  <w:style w:type="character" w:styleId="ListLabel4">
    <w:name w:val="ListLabel 4"/>
    <w:qFormat/>
    <w:rPr>
      <w:b/>
      <w:bCs/>
    </w:rPr>
  </w:style>
  <w:style w:type="character" w:styleId="ListLabel5">
    <w:name w:val="ListLabel 5"/>
    <w:qFormat/>
    <w:rPr>
      <w:b/>
      <w:bCs/>
    </w:rPr>
  </w:style>
  <w:style w:type="character" w:styleId="ListLabel6">
    <w:name w:val="ListLabel 6"/>
    <w:qFormat/>
    <w:rPr>
      <w:rFonts w:ascii="Times New Roman" w:hAnsi="Times New Roman"/>
      <w:b/>
      <w:bCs/>
    </w:rPr>
  </w:style>
  <w:style w:type="character" w:styleId="ListLabel7">
    <w:name w:val="ListLabel 7"/>
    <w:qFormat/>
    <w:rPr>
      <w:rFonts w:ascii="Times New Roman" w:hAnsi="Times New Roman"/>
      <w:b/>
      <w:bCs/>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link w:val="CorpodetextoChar"/>
    <w:rsid w:val="00a9418f"/>
    <w:pPr>
      <w:suppressAutoHyphens w:val="true"/>
      <w:spacing w:lineRule="auto" w:line="360" w:before="0" w:after="0"/>
      <w:jc w:val="both"/>
    </w:pPr>
    <w:rPr>
      <w:rFonts w:ascii="Times New Roman" w:hAnsi="Times New Roman" w:eastAsia="Times New Roman"/>
      <w:b/>
      <w:sz w:val="28"/>
      <w:szCs w:val="20"/>
      <w:lang w:eastAsia="zh-CN"/>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Ttulododocumento">
    <w:name w:val="Title"/>
    <w:basedOn w:val="Normal"/>
    <w:next w:val="Corpodo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Cabealho">
    <w:name w:val="Header"/>
    <w:basedOn w:val="Normal"/>
    <w:link w:val="CabealhoChar"/>
    <w:uiPriority w:val="99"/>
    <w:unhideWhenUsed/>
    <w:rsid w:val="000d3d0a"/>
    <w:pPr>
      <w:tabs>
        <w:tab w:val="clear" w:pos="708"/>
        <w:tab w:val="center" w:pos="4252" w:leader="none"/>
        <w:tab w:val="right" w:pos="8504" w:leader="none"/>
      </w:tabs>
      <w:spacing w:lineRule="auto" w:line="240" w:before="0" w:after="0"/>
    </w:pPr>
    <w:rPr/>
  </w:style>
  <w:style w:type="paragraph" w:styleId="ListParagraph">
    <w:name w:val="List Paragraph"/>
    <w:basedOn w:val="Normal"/>
    <w:uiPriority w:val="34"/>
    <w:qFormat/>
    <w:rsid w:val="000d3d0a"/>
    <w:pPr>
      <w:spacing w:lineRule="auto" w:line="240" w:before="0" w:after="0"/>
      <w:ind w:left="720" w:hanging="0"/>
      <w:contextualSpacing/>
    </w:pPr>
    <w:rPr>
      <w:sz w:val="24"/>
      <w:szCs w:val="24"/>
    </w:rPr>
  </w:style>
  <w:style w:type="paragraph" w:styleId="Notaderodap" w:customStyle="1">
    <w:name w:val="Footnote Text"/>
    <w:basedOn w:val="Normal"/>
    <w:pPr/>
    <w:rPr/>
  </w:style>
  <w:style w:type="paragraph" w:styleId="PargrafoNormal" w:customStyle="1">
    <w:name w:val="Parágrafo Normal"/>
    <w:qFormat/>
    <w:rsid w:val="00666b84"/>
    <w:pPr>
      <w:widowControl/>
      <w:suppressAutoHyphens w:val="true"/>
      <w:bidi w:val="0"/>
      <w:spacing w:lineRule="auto" w:line="360"/>
      <w:ind w:firstLine="709"/>
      <w:jc w:val="both"/>
    </w:pPr>
    <w:rPr>
      <w:rFonts w:ascii="Arial" w:hAnsi="Arial" w:eastAsia="SimSun" w:cs="Arial"/>
      <w:color w:val="auto"/>
      <w:kern w:val="0"/>
      <w:sz w:val="22"/>
      <w:szCs w:val="24"/>
      <w:lang w:eastAsia="zh-CN" w:bidi="hi-IN" w:val="pt-BR"/>
    </w:rPr>
  </w:style>
  <w:style w:type="paragraph" w:styleId="Footnote" w:customStyle="1">
    <w:name w:val="Footnote"/>
    <w:basedOn w:val="Normal"/>
    <w:qFormat/>
    <w:rsid w:val="003f398f"/>
    <w:pPr>
      <w:suppressLineNumbers/>
      <w:suppressAutoHyphens w:val="true"/>
      <w:spacing w:lineRule="auto" w:line="240" w:before="0" w:after="0"/>
      <w:ind w:left="283" w:hanging="283"/>
      <w:textAlignment w:val="baseline"/>
    </w:pPr>
    <w:rPr>
      <w:rFonts w:ascii="Times New Roman" w:hAnsi="Times New Roman" w:eastAsia="Times New Roman"/>
      <w:sz w:val="20"/>
      <w:szCs w:val="20"/>
      <w:lang w:eastAsia="zh-CN"/>
    </w:rPr>
  </w:style>
  <w:style w:type="paragraph" w:styleId="NormalWeb">
    <w:name w:val="Normal (Web)"/>
    <w:basedOn w:val="Normal"/>
    <w:uiPriority w:val="99"/>
    <w:unhideWhenUsed/>
    <w:qFormat/>
    <w:rsid w:val="00df4688"/>
    <w:pPr>
      <w:spacing w:lineRule="auto" w:line="240" w:beforeAutospacing="1" w:afterAutospacing="1"/>
    </w:pPr>
    <w:rPr>
      <w:rFonts w:ascii="Times New Roman" w:hAnsi="Times New Roman" w:eastAsia="Times New Roman"/>
      <w:sz w:val="24"/>
      <w:szCs w:val="24"/>
      <w:lang w:eastAsia="pt-BR"/>
    </w:rPr>
  </w:style>
  <w:style w:type="paragraph" w:styleId="BalloonText">
    <w:name w:val="Balloon Text"/>
    <w:basedOn w:val="Normal"/>
    <w:link w:val="TextodebaloChar"/>
    <w:uiPriority w:val="99"/>
    <w:semiHidden/>
    <w:unhideWhenUsed/>
    <w:qFormat/>
    <w:rsid w:val="009328e3"/>
    <w:pPr>
      <w:spacing w:lineRule="auto" w:line="240" w:before="0" w:after="0"/>
    </w:pPr>
    <w:rPr>
      <w:rFonts w:ascii="Times New Roman" w:hAnsi="Times New Roman"/>
      <w:sz w:val="18"/>
      <w:szCs w:val="18"/>
    </w:rPr>
  </w:style>
  <w:style w:type="paragraph" w:styleId="Rodap">
    <w:name w:val="Footer"/>
    <w:basedOn w:val="Normal"/>
    <w:link w:val="RodapChar"/>
    <w:uiPriority w:val="99"/>
    <w:unhideWhenUsed/>
    <w:rsid w:val="00d645e9"/>
    <w:pPr>
      <w:tabs>
        <w:tab w:val="clear" w:pos="708"/>
        <w:tab w:val="center" w:pos="4252" w:leader="none"/>
        <w:tab w:val="right" w:pos="8504" w:leader="none"/>
      </w:tabs>
      <w:spacing w:lineRule="auto" w:line="240" w:before="0" w:after="0"/>
    </w:pPr>
    <w:rPr/>
  </w:style>
  <w:style w:type="paragraph" w:styleId="Standard" w:customStyle="1">
    <w:name w:val="Standard"/>
    <w:qFormat/>
    <w:rsid w:val="00727d92"/>
    <w:pPr>
      <w:widowControl/>
      <w:bidi w:val="0"/>
      <w:jc w:val="left"/>
      <w:textAlignment w:val="baseline"/>
    </w:pPr>
    <w:rPr>
      <w:rFonts w:ascii="Liberation Serif" w:hAnsi="Liberation Serif" w:eastAsia="SimSun" w:cs="Liberation Serif"/>
      <w:color w:val="00000A"/>
      <w:kern w:val="0"/>
      <w:sz w:val="24"/>
      <w:szCs w:val="24"/>
      <w:lang w:eastAsia="zh-CN" w:bidi="hi-IN" w:val="pt-BR"/>
    </w:rPr>
  </w:style>
  <w:style w:type="paragraph" w:styleId="Revision">
    <w:name w:val="Revision"/>
    <w:uiPriority w:val="99"/>
    <w:semiHidden/>
    <w:qFormat/>
    <w:rsid w:val="008131d4"/>
    <w:pPr>
      <w:widowControl/>
      <w:bidi w:val="0"/>
      <w:jc w:val="left"/>
    </w:pPr>
    <w:rPr>
      <w:rFonts w:cs="Times New Roman" w:ascii="Calibri" w:hAnsi="Calibri" w:eastAsia="Calibri" w:asciiTheme="minorHAnsi" w:eastAsiaTheme="minorHAnsi" w:hAnsiTheme="minorHAnsi"/>
      <w:color w:val="auto"/>
      <w:kern w:val="0"/>
      <w:sz w:val="22"/>
      <w:szCs w:val="22"/>
      <w:lang w:val="pt-BR" w:eastAsia="en-US" w:bidi="ar-SA"/>
    </w:rPr>
  </w:style>
  <w:style w:type="paragraph" w:styleId="Annotationtext">
    <w:name w:val="annotation text"/>
    <w:basedOn w:val="Normal"/>
    <w:link w:val="TextodecomentrioChar"/>
    <w:uiPriority w:val="99"/>
    <w:unhideWhenUsed/>
    <w:qFormat/>
    <w:rsid w:val="00867f0e"/>
    <w:pPr>
      <w:spacing w:lineRule="auto" w:line="240"/>
    </w:pPr>
    <w:rPr>
      <w:sz w:val="20"/>
      <w:szCs w:val="20"/>
    </w:rPr>
  </w:style>
  <w:style w:type="paragraph" w:styleId="Annotationsubject">
    <w:name w:val="annotation subject"/>
    <w:basedOn w:val="Annotationtext"/>
    <w:next w:val="Annotationtext"/>
    <w:link w:val="AssuntodocomentrioChar"/>
    <w:uiPriority w:val="99"/>
    <w:semiHidden/>
    <w:unhideWhenUsed/>
    <w:qFormat/>
    <w:rsid w:val="00867f0e"/>
    <w:pPr/>
    <w:rPr>
      <w:b/>
      <w:bCs/>
    </w:rPr>
  </w:style>
  <w:style w:type="paragraph" w:styleId="Subttulo">
    <w:name w:val="Subtitle"/>
    <w:basedOn w:val="Normal"/>
    <w:next w:val="Normal"/>
    <w:link w:val="SubttuloChar"/>
    <w:uiPriority w:val="11"/>
    <w:qFormat/>
    <w:rsid w:val="00854a0a"/>
    <w:pPr>
      <w:spacing w:lineRule="auto" w:line="240" w:before="0" w:after="0"/>
    </w:pPr>
    <w:rPr>
      <w:rFonts w:ascii="Times New Roman" w:hAnsi="Times New Roman" w:eastAsia="" w:cs="Times New Roman (Corpo CS)" w:eastAsiaTheme="minorEastAsia"/>
      <w:b/>
      <w:spacing w:val="15"/>
      <w:sz w:val="24"/>
      <w:lang w:eastAsia="pt-BR"/>
    </w:rPr>
  </w:style>
  <w:style w:type="paragraph" w:styleId="Normal1" w:customStyle="1">
    <w:name w:val="Normal1"/>
    <w:qFormat/>
    <w:rsid w:val="00ef65a0"/>
    <w:pPr>
      <w:widowControl/>
      <w:bidi w:val="0"/>
      <w:spacing w:lineRule="auto" w:line="276"/>
      <w:jc w:val="left"/>
    </w:pPr>
    <w:rPr>
      <w:rFonts w:ascii="Arial" w:hAnsi="Arial" w:eastAsia="Arial" w:cs="Arial"/>
      <w:color w:val="auto"/>
      <w:kern w:val="0"/>
      <w:sz w:val="22"/>
      <w:szCs w:val="22"/>
      <w:lang w:val="uz-Cyrl-UZ" w:eastAsia="en-US" w:bidi="ar-SA"/>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customStyle="1" w:styleId="TabeladeGrade5Escura-nfase61">
    <w:name w:val="Tabela de Grade 5 Escura - Ênfase 61"/>
    <w:basedOn w:val="Tabelanormal"/>
    <w:uiPriority w:val="50"/>
    <w:rsid w:val="000b00c1"/>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s://www.ipcc.ch/sr15/" TargetMode="External"/><Relationship Id="rId2" Type="http://schemas.openxmlformats.org/officeDocument/2006/relationships/hyperlink" Target="http://seeg.eco.br/" TargetMode="External"/><Relationship Id="rId3" Type="http://schemas.openxmlformats.org/officeDocument/2006/relationships/hyperlink" Target="https://journals.sagepub.com/doi/abs/10.1177/0270467619886266?journalCode=bsta" TargetMode="External"/><Relationship Id="rId4" Type="http://schemas.openxmlformats.org/officeDocument/2006/relationships/hyperlink" Target="https://ipbes.net/covid19stimulus" TargetMode="External"/><Relationship Id="rId5" Type="http://schemas.openxmlformats.org/officeDocument/2006/relationships/hyperlink" Target="https://www.americanprogress.org/issues/green/reports/2020/04/20/483455/confronting-pandemic-must-save-nature-save/" TargetMode="External"/><Relationship Id="rId6" Type="http://schemas.openxmlformats.org/officeDocument/2006/relationships/hyperlink" Target="https://www.worldbank.org/en/news/press-release/2018/03/19/climate-change-could-force-over-140-million-to-migrate-within-countries-by-2050-world-bank-report" TargetMode="External"/><Relationship Id="rId7" Type="http://schemas.openxmlformats.org/officeDocument/2006/relationships/hyperlink" Target="http://www.br.undp.org/content/dam/brazil/docs/ODS/undp-br-ods-ParisAgreement.pdf" TargetMode="External"/><Relationship Id="rId8" Type="http://schemas.openxmlformats.org/officeDocument/2006/relationships/hyperlink" Target="https://www.metoffice.gov.uk/research/news/2015/global-average-temperature-2015" TargetMode="External"/><Relationship Id="rId9" Type="http://schemas.openxmlformats.org/officeDocument/2006/relationships/hyperlink" Target="https://www.mma.gov.br/clima/convencao-das-nacoes-unidas/acordo-de-paris" TargetMode="Externa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364E4-E6BE-694C-9578-859BF7F0B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Application>LibreOffice/6.2.8.2$Windows_X86_64 LibreOffice_project/f82ddfca21ebc1e222a662a32b25c0c9d20169ee</Application>
  <Pages>2</Pages>
  <Words>2416</Words>
  <Characters>14587</Characters>
  <CharactersWithSpaces>16967</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2021-04-06T19:46:00Z</dcterms:created>
  <dc:creator/>
  <dc:description/>
  <dc:language>pt-BR</dc:language>
  <cp:lastModifiedBy/>
  <cp:lastPrinted>2020-09-10T15:51:00Z</cp:lastPrinted>
  <dcterms:modified xsi:type="dcterms:W3CDTF">2021-05-04T22:59:00Z</dcterms:modified>
  <cp:revision>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